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 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_______ to _______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Commission File Number: 001-37798 </w:t>
      </w:r>
    </w:p>
    <w:p>
      <w:pPr>
        <w:pStyle w:val="TextBody"/>
        <w:bidi w:val="0"/>
        <w:spacing w:lineRule="auto" w:line="288" w:before="0" w:after="180"/>
        <w:jc w:val="center"/>
        <w:rPr>
          <w:rFonts w:ascii="Times New Roman;serif" w:hAnsi="Times New Roman;serif"/>
          <w:b w:val="false"/>
          <w:color w:val="000000"/>
          <w:sz w:val="48"/>
        </w:rPr>
      </w:pPr>
      <w:r>
        <w:rPr>
          <w:rFonts w:ascii="Times New Roman;serif" w:hAnsi="Times New Roman;serif"/>
          <w:b w:val="false"/>
          <w:color w:val="000000"/>
          <w:sz w:val="48"/>
        </w:rPr>
        <w:t>Cartesian Therapeutics,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36" w:type="dxa"/>
        <w:jc w:val="center"/>
        <w:tblInd w:w="0" w:type="dxa"/>
        <w:tblLayout w:type="fixed"/>
        <w:tblCellMar>
          <w:top w:w="28" w:type="dxa"/>
          <w:left w:w="28" w:type="dxa"/>
          <w:bottom w:w="28" w:type="dxa"/>
          <w:right w:w="28" w:type="dxa"/>
        </w:tblCellMar>
      </w:tblPr>
      <w:tblGrid>
        <w:gridCol w:w="1258"/>
        <w:gridCol w:w="1105"/>
        <w:gridCol w:w="1117"/>
        <w:gridCol w:w="109"/>
        <w:gridCol w:w="109"/>
        <w:gridCol w:w="109"/>
        <w:gridCol w:w="884"/>
        <w:gridCol w:w="884"/>
        <w:gridCol w:w="1261"/>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26-1622110</w:t>
            </w:r>
          </w:p>
        </w:tc>
      </w:tr>
      <w:tr>
        <w:trPr/>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7495 New Horizon Way, Frederick,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21703</w:t>
            </w:r>
          </w:p>
        </w:tc>
      </w:tr>
      <w:tr>
        <w:trPr/>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(301) 348-8698</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9194" w:type="dxa"/>
        <w:jc w:val="left"/>
        <w:tblInd w:w="0" w:type="dxa"/>
        <w:tblLayout w:type="fixed"/>
        <w:tblCellMar>
          <w:top w:w="28" w:type="dxa"/>
          <w:left w:w="28" w:type="dxa"/>
          <w:bottom w:w="28" w:type="dxa"/>
          <w:right w:w="28" w:type="dxa"/>
        </w:tblCellMar>
      </w:tblPr>
      <w:tblGrid>
        <w:gridCol w:w="1403"/>
        <w:gridCol w:w="1233"/>
        <w:gridCol w:w="1233"/>
        <w:gridCol w:w="540"/>
        <w:gridCol w:w="540"/>
        <w:gridCol w:w="540"/>
        <w:gridCol w:w="1085"/>
        <w:gridCol w:w="1085"/>
        <w:gridCol w:w="153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91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RNAC</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r>
        <w:trPr/>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94" w:type="dxa"/>
            <w:gridSpan w:val="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r>
      <w:tr>
        <w:trPr/>
        <w:tc>
          <w:tcPr>
            <w:tcW w:w="9194" w:type="dxa"/>
            <w:gridSpan w:val="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Contingent Value Rights</w:t>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ind w:left="0" w:right="0" w:firstLine="36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 registrant had 30,255,352 shares of common stock, par value $0.0001 per share,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352"/>
        <w:gridCol w:w="308"/>
        <w:gridCol w:w="289"/>
        <w:gridCol w:w="2839"/>
        <w:gridCol w:w="2728"/>
        <w:gridCol w:w="2721"/>
        <w:gridCol w:w="277"/>
        <w:gridCol w:w="277"/>
        <w:gridCol w:w="414"/>
      </w:tblGrid>
      <w:tr>
        <w:trPr/>
        <w:tc>
          <w:tcPr>
            <w:tcW w:w="3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aad1dba49c14c3ca879927645e3342a_16">
              <w:r>
                <w:rPr>
                  <w:rStyle w:val="InternetLink"/>
                  <w:rFonts w:ascii="Times New Roman;serif" w:hAnsi="Times New Roman;serif"/>
                  <w:b w:val="false"/>
                  <w:color w:val="0000FF"/>
                  <w:sz w:val="20"/>
                  <w:u w:val="single"/>
                </w:rPr>
                <w:t>PART I. FINANCIAL INFORMATION</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19">
              <w:r>
                <w:rPr>
                  <w:rStyle w:val="InternetLink"/>
                  <w:rFonts w:ascii="Times New Roman;serif" w:hAnsi="Times New Roman;serif"/>
                  <w:b w:val="false"/>
                  <w:color w:val="0000FF"/>
                  <w:sz w:val="20"/>
                  <w:u w:val="single"/>
                </w:rPr>
                <w:t>Item 1.</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19">
              <w:r>
                <w:rPr>
                  <w:rStyle w:val="InternetLink"/>
                  <w:rFonts w:ascii="Times New Roman;serif" w:hAnsi="Times New Roman;serif"/>
                  <w:b w:val="false"/>
                  <w:color w:val="0000FF"/>
                  <w:sz w:val="20"/>
                  <w:u w:val="single"/>
                </w:rPr>
                <w:t>Financial Statements (unaudited)</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19">
              <w:r>
                <w:rPr>
                  <w:rStyle w:val="InternetLink"/>
                  <w:rFonts w:ascii="Times New Roman;serif" w:hAnsi="Times New Roman;serif"/>
                  <w:b w:val="false"/>
                  <w:color w:val="0000FF"/>
                  <w:sz w:val="20"/>
                  <w:u w:val="single"/>
                </w:rPr>
                <w:t>5</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2">
              <w:r>
                <w:rPr>
                  <w:rStyle w:val="InternetLink"/>
                  <w:rFonts w:ascii="Times New Roman;serif" w:hAnsi="Times New Roman;serif"/>
                  <w:b w:val="false"/>
                  <w:color w:val="000080"/>
                  <w:sz w:val="20"/>
                  <w:u w:val="single"/>
                </w:rPr>
                <w:t xml:space="preserve">Consolidated Balance Sheets as of </w:t>
              </w:r>
            </w:hyperlink>
            <w:hyperlink w:anchor="ibaad1dba49c14c3ca879927645e3342a_22">
              <w:r>
                <w:rPr>
                  <w:rStyle w:val="InternetLink"/>
                  <w:rFonts w:ascii="Times New Roman;serif" w:hAnsi="Times New Roman;serif"/>
                  <w:b w:val="false"/>
                  <w:color w:val="000080"/>
                  <w:sz w:val="20"/>
                  <w:u w:val="single"/>
                </w:rPr>
                <w:t>June</w:t>
              </w:r>
            </w:hyperlink>
            <w:hyperlink w:anchor="ibaad1dba49c14c3ca879927645e3342a_22">
              <w:r>
                <w:rPr>
                  <w:rStyle w:val="InternetLink"/>
                  <w:rFonts w:ascii="Times New Roman;serif" w:hAnsi="Times New Roman;serif"/>
                  <w:b w:val="false"/>
                  <w:color w:val="000080"/>
                  <w:sz w:val="20"/>
                  <w:u w:val="single"/>
                </w:rPr>
                <w:t xml:space="preserve"> 3</w:t>
              </w:r>
            </w:hyperlink>
            <w:hyperlink w:anchor="ibaad1dba49c14c3ca879927645e3342a_22">
              <w:r>
                <w:rPr>
                  <w:rStyle w:val="InternetLink"/>
                  <w:rFonts w:ascii="Times New Roman;serif" w:hAnsi="Times New Roman;serif"/>
                  <w:b w:val="false"/>
                  <w:color w:val="000080"/>
                  <w:sz w:val="20"/>
                  <w:u w:val="single"/>
                </w:rPr>
                <w:t>0</w:t>
              </w:r>
            </w:hyperlink>
            <w:hyperlink w:anchor="ibaad1dba49c14c3ca879927645e3342a_22">
              <w:r>
                <w:rPr>
                  <w:rStyle w:val="InternetLink"/>
                  <w:rFonts w:ascii="Times New Roman;serif" w:hAnsi="Times New Roman;serif"/>
                  <w:b w:val="false"/>
                  <w:color w:val="000080"/>
                  <w:sz w:val="20"/>
                  <w:u w:val="single"/>
                </w:rPr>
                <w:t>, 2026 and December 31, 2025</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2">
              <w:r>
                <w:rPr>
                  <w:rStyle w:val="InternetLink"/>
                  <w:rFonts w:ascii="Times New Roman;serif" w:hAnsi="Times New Roman;serif"/>
                  <w:b w:val="false"/>
                  <w:color w:val="0000FF"/>
                  <w:sz w:val="20"/>
                  <w:u w:val="single"/>
                </w:rPr>
                <w:t>5</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8">
              <w:r>
                <w:rPr>
                  <w:rStyle w:val="InternetLink"/>
                  <w:rFonts w:ascii="Times New Roman;serif" w:hAnsi="Times New Roman;serif"/>
                  <w:b w:val="false"/>
                  <w:color w:val="000080"/>
                  <w:sz w:val="20"/>
                  <w:u w:val="single"/>
                </w:rPr>
                <w:t xml:space="preserve">Consolidated Statements of Operations and Comprehensive </w:t>
              </w:r>
            </w:hyperlink>
            <w:hyperlink w:anchor="ibaad1dba49c14c3ca879927645e3342a_28">
              <w:r>
                <w:rPr>
                  <w:rStyle w:val="InternetLink"/>
                  <w:rFonts w:ascii="Times New Roman;serif" w:hAnsi="Times New Roman;serif"/>
                  <w:b w:val="false"/>
                  <w:color w:val="000080"/>
                  <w:sz w:val="20"/>
                  <w:u w:val="single"/>
                </w:rPr>
                <w:t>Income (</w:t>
              </w:r>
            </w:hyperlink>
            <w:hyperlink w:anchor="ibaad1dba49c14c3ca879927645e3342a_28">
              <w:r>
                <w:rPr>
                  <w:rStyle w:val="InternetLink"/>
                  <w:rFonts w:ascii="Times New Roman;serif" w:hAnsi="Times New Roman;serif"/>
                  <w:b w:val="false"/>
                  <w:color w:val="000080"/>
                  <w:sz w:val="20"/>
                  <w:u w:val="single"/>
                </w:rPr>
                <w:t>Loss</w:t>
              </w:r>
            </w:hyperlink>
            <w:hyperlink w:anchor="ibaad1dba49c14c3ca879927645e3342a_28">
              <w:r>
                <w:rPr>
                  <w:rStyle w:val="InternetLink"/>
                  <w:rFonts w:ascii="Times New Roman;serif" w:hAnsi="Times New Roman;serif"/>
                  <w:b w:val="false"/>
                  <w:color w:val="000080"/>
                  <w:sz w:val="20"/>
                  <w:u w:val="single"/>
                </w:rPr>
                <w:t>)</w:t>
              </w:r>
            </w:hyperlink>
            <w:hyperlink w:anchor="ibaad1dba49c14c3ca879927645e3342a_28">
              <w:r>
                <w:rPr>
                  <w:rStyle w:val="InternetLink"/>
                  <w:rFonts w:ascii="Times New Roman;serif" w:hAnsi="Times New Roman;serif"/>
                  <w:b w:val="false"/>
                  <w:color w:val="000080"/>
                  <w:sz w:val="20"/>
                  <w:u w:val="single"/>
                </w:rPr>
                <w:t xml:space="preserve"> for the Three</w:t>
              </w:r>
            </w:hyperlink>
            <w:hyperlink w:anchor="ibaad1dba49c14c3ca879927645e3342a_28">
              <w:r>
                <w:rPr>
                  <w:rStyle w:val="InternetLink"/>
                  <w:rFonts w:ascii="Times New Roman;serif" w:hAnsi="Times New Roman;serif"/>
                  <w:b w:val="false"/>
                  <w:color w:val="000080"/>
                  <w:sz w:val="20"/>
                  <w:u w:val="single"/>
                </w:rPr>
                <w:t xml:space="preserve"> and Six</w:t>
              </w:r>
            </w:hyperlink>
            <w:hyperlink w:anchor="ibaad1dba49c14c3ca879927645e3342a_28">
              <w:r>
                <w:rPr>
                  <w:rStyle w:val="InternetLink"/>
                  <w:rFonts w:ascii="Times New Roman;serif" w:hAnsi="Times New Roman;serif"/>
                  <w:b w:val="false"/>
                  <w:color w:val="000080"/>
                  <w:sz w:val="20"/>
                  <w:u w:val="single"/>
                </w:rPr>
                <w:t xml:space="preserve"> Months ended </w:t>
              </w:r>
            </w:hyperlink>
            <w:hyperlink w:anchor="ibaad1dba49c14c3ca879927645e3342a_28">
              <w:r>
                <w:rPr>
                  <w:rStyle w:val="InternetLink"/>
                  <w:rFonts w:ascii="Times New Roman;serif" w:hAnsi="Times New Roman;serif"/>
                  <w:b w:val="false"/>
                  <w:color w:val="000080"/>
                  <w:sz w:val="20"/>
                  <w:u w:val="single"/>
                </w:rPr>
                <w:t xml:space="preserve">June </w:t>
              </w:r>
            </w:hyperlink>
            <w:hyperlink w:anchor="ibaad1dba49c14c3ca879927645e3342a_28">
              <w:r>
                <w:rPr>
                  <w:rStyle w:val="InternetLink"/>
                  <w:rFonts w:ascii="Times New Roman;serif" w:hAnsi="Times New Roman;serif"/>
                  <w:b w:val="false"/>
                  <w:color w:val="000080"/>
                  <w:sz w:val="20"/>
                  <w:u w:val="single"/>
                </w:rPr>
                <w:t>3</w:t>
              </w:r>
            </w:hyperlink>
            <w:hyperlink w:anchor="ibaad1dba49c14c3ca879927645e3342a_28">
              <w:r>
                <w:rPr>
                  <w:rStyle w:val="InternetLink"/>
                  <w:rFonts w:ascii="Times New Roman;serif" w:hAnsi="Times New Roman;serif"/>
                  <w:b w:val="false"/>
                  <w:color w:val="000080"/>
                  <w:sz w:val="20"/>
                  <w:u w:val="single"/>
                </w:rPr>
                <w:t>0</w:t>
              </w:r>
            </w:hyperlink>
            <w:hyperlink w:anchor="ibaad1dba49c14c3ca879927645e3342a_28">
              <w:r>
                <w:rPr>
                  <w:rStyle w:val="InternetLink"/>
                  <w:rFonts w:ascii="Times New Roman;serif" w:hAnsi="Times New Roman;serif"/>
                  <w:b w:val="false"/>
                  <w:color w:val="000080"/>
                  <w:sz w:val="20"/>
                  <w:u w:val="single"/>
                </w:rPr>
                <w:t>, 2026 and 2025</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8">
              <w:r>
                <w:rPr>
                  <w:rStyle w:val="InternetLink"/>
                  <w:rFonts w:ascii="Times New Roman;serif" w:hAnsi="Times New Roman;serif"/>
                  <w:b w:val="false"/>
                  <w:color w:val="0000FF"/>
                  <w:sz w:val="20"/>
                  <w:u w:val="single"/>
                </w:rPr>
                <w:t>6</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34">
              <w:r>
                <w:rPr>
                  <w:rStyle w:val="InternetLink"/>
                  <w:rFonts w:ascii="Times New Roman;serif" w:hAnsi="Times New Roman;serif"/>
                  <w:b w:val="false"/>
                  <w:color w:val="000080"/>
                  <w:sz w:val="20"/>
                  <w:u w:val="single"/>
                </w:rPr>
                <w:t xml:space="preserve">Consolidated Statements of Changes in Stockholders’ Deficit for the Three </w:t>
              </w:r>
            </w:hyperlink>
            <w:hyperlink w:anchor="ibaad1dba49c14c3ca879927645e3342a_34">
              <w:r>
                <w:rPr>
                  <w:rStyle w:val="InternetLink"/>
                  <w:rFonts w:ascii="Times New Roman;serif" w:hAnsi="Times New Roman;serif"/>
                  <w:b w:val="false"/>
                  <w:color w:val="000080"/>
                  <w:sz w:val="20"/>
                  <w:u w:val="single"/>
                </w:rPr>
                <w:t xml:space="preserve">and Six </w:t>
              </w:r>
            </w:hyperlink>
            <w:hyperlink w:anchor="ibaad1dba49c14c3ca879927645e3342a_34">
              <w:r>
                <w:rPr>
                  <w:rStyle w:val="InternetLink"/>
                  <w:rFonts w:ascii="Times New Roman;serif" w:hAnsi="Times New Roman;serif"/>
                  <w:b w:val="false"/>
                  <w:color w:val="000080"/>
                  <w:sz w:val="20"/>
                  <w:u w:val="single"/>
                </w:rPr>
                <w:t xml:space="preserve">Months ended </w:t>
              </w:r>
            </w:hyperlink>
            <w:hyperlink w:anchor="ibaad1dba49c14c3ca879927645e3342a_34">
              <w:r>
                <w:rPr>
                  <w:rStyle w:val="InternetLink"/>
                  <w:rFonts w:ascii="Times New Roman;serif" w:hAnsi="Times New Roman;serif"/>
                  <w:b w:val="false"/>
                  <w:color w:val="000080"/>
                  <w:sz w:val="20"/>
                  <w:u w:val="single"/>
                </w:rPr>
                <w:t>June</w:t>
              </w:r>
            </w:hyperlink>
            <w:hyperlink w:anchor="ibaad1dba49c14c3ca879927645e3342a_34">
              <w:r>
                <w:rPr>
                  <w:rStyle w:val="InternetLink"/>
                  <w:rFonts w:ascii="Times New Roman;serif" w:hAnsi="Times New Roman;serif"/>
                  <w:b w:val="false"/>
                  <w:color w:val="000080"/>
                  <w:sz w:val="20"/>
                  <w:u w:val="single"/>
                </w:rPr>
                <w:t xml:space="preserve"> 3</w:t>
              </w:r>
            </w:hyperlink>
            <w:hyperlink w:anchor="ibaad1dba49c14c3ca879927645e3342a_34">
              <w:r>
                <w:rPr>
                  <w:rStyle w:val="InternetLink"/>
                  <w:rFonts w:ascii="Times New Roman;serif" w:hAnsi="Times New Roman;serif"/>
                  <w:b w:val="false"/>
                  <w:color w:val="000080"/>
                  <w:sz w:val="20"/>
                  <w:u w:val="single"/>
                </w:rPr>
                <w:t>0</w:t>
              </w:r>
            </w:hyperlink>
            <w:hyperlink w:anchor="ibaad1dba49c14c3ca879927645e3342a_34">
              <w:r>
                <w:rPr>
                  <w:rStyle w:val="InternetLink"/>
                  <w:rFonts w:ascii="Times New Roman;serif" w:hAnsi="Times New Roman;serif"/>
                  <w:b w:val="false"/>
                  <w:color w:val="000080"/>
                  <w:sz w:val="20"/>
                  <w:u w:val="single"/>
                </w:rPr>
                <w:t>, 2026 and 2025</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34">
              <w:r>
                <w:rPr>
                  <w:rStyle w:val="InternetLink"/>
                  <w:rFonts w:ascii="Times New Roman;serif" w:hAnsi="Times New Roman;serif"/>
                  <w:b w:val="false"/>
                  <w:color w:val="0000FF"/>
                  <w:sz w:val="20"/>
                  <w:u w:val="single"/>
                </w:rPr>
                <w:t>7</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49">
              <w:r>
                <w:rPr>
                  <w:rStyle w:val="InternetLink"/>
                  <w:rFonts w:ascii="Times New Roman;serif" w:hAnsi="Times New Roman;serif"/>
                  <w:b w:val="false"/>
                  <w:color w:val="000080"/>
                  <w:sz w:val="20"/>
                  <w:u w:val="single"/>
                </w:rPr>
                <w:t xml:space="preserve">Consolidated Statements of Cash Flows for the </w:t>
              </w:r>
            </w:hyperlink>
            <w:hyperlink w:anchor="ibaad1dba49c14c3ca879927645e3342a_49">
              <w:r>
                <w:rPr>
                  <w:rStyle w:val="InternetLink"/>
                  <w:rFonts w:ascii="Times New Roman;serif" w:hAnsi="Times New Roman;serif"/>
                  <w:b w:val="false"/>
                  <w:color w:val="000080"/>
                  <w:sz w:val="20"/>
                  <w:u w:val="single"/>
                </w:rPr>
                <w:t>Six</w:t>
              </w:r>
            </w:hyperlink>
            <w:hyperlink w:anchor="ibaad1dba49c14c3ca879927645e3342a_49">
              <w:r>
                <w:rPr>
                  <w:rStyle w:val="InternetLink"/>
                  <w:rFonts w:ascii="Times New Roman;serif" w:hAnsi="Times New Roman;serif"/>
                  <w:b w:val="false"/>
                  <w:color w:val="000080"/>
                  <w:sz w:val="20"/>
                  <w:u w:val="single"/>
                </w:rPr>
                <w:t xml:space="preserve"> Months ended </w:t>
              </w:r>
            </w:hyperlink>
            <w:hyperlink w:anchor="ibaad1dba49c14c3ca879927645e3342a_49">
              <w:r>
                <w:rPr>
                  <w:rStyle w:val="InternetLink"/>
                  <w:rFonts w:ascii="Times New Roman;serif" w:hAnsi="Times New Roman;serif"/>
                  <w:b w:val="false"/>
                  <w:color w:val="000080"/>
                  <w:sz w:val="20"/>
                  <w:u w:val="single"/>
                </w:rPr>
                <w:t>June</w:t>
              </w:r>
            </w:hyperlink>
            <w:hyperlink w:anchor="ibaad1dba49c14c3ca879927645e3342a_49">
              <w:r>
                <w:rPr>
                  <w:rStyle w:val="InternetLink"/>
                  <w:rFonts w:ascii="Times New Roman;serif" w:hAnsi="Times New Roman;serif"/>
                  <w:b w:val="false"/>
                  <w:color w:val="000080"/>
                  <w:sz w:val="20"/>
                  <w:u w:val="single"/>
                </w:rPr>
                <w:t xml:space="preserve"> 3</w:t>
              </w:r>
            </w:hyperlink>
            <w:hyperlink w:anchor="ibaad1dba49c14c3ca879927645e3342a_49">
              <w:r>
                <w:rPr>
                  <w:rStyle w:val="InternetLink"/>
                  <w:rFonts w:ascii="Times New Roman;serif" w:hAnsi="Times New Roman;serif"/>
                  <w:b w:val="false"/>
                  <w:color w:val="000080"/>
                  <w:sz w:val="20"/>
                  <w:u w:val="single"/>
                </w:rPr>
                <w:t>0</w:t>
              </w:r>
            </w:hyperlink>
            <w:hyperlink w:anchor="ibaad1dba49c14c3ca879927645e3342a_49">
              <w:r>
                <w:rPr>
                  <w:rStyle w:val="InternetLink"/>
                  <w:rFonts w:ascii="Times New Roman;serif" w:hAnsi="Times New Roman;serif"/>
                  <w:b w:val="false"/>
                  <w:color w:val="000080"/>
                  <w:sz w:val="20"/>
                  <w:u w:val="single"/>
                </w:rPr>
                <w:t>, 2026 and 2025</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49">
              <w:r>
                <w:rPr>
                  <w:rStyle w:val="InternetLink"/>
                  <w:rFonts w:ascii="Times New Roman;serif" w:hAnsi="Times New Roman;serif"/>
                  <w:b w:val="false"/>
                  <w:color w:val="0000FF"/>
                  <w:sz w:val="20"/>
                  <w:u w:val="single"/>
                </w:rPr>
                <w:t>9</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55">
              <w:r>
                <w:rPr>
                  <w:rStyle w:val="InternetLink"/>
                  <w:rFonts w:ascii="Times New Roman;serif" w:hAnsi="Times New Roman;serif"/>
                  <w:b w:val="false"/>
                  <w:color w:val="0000FF"/>
                  <w:sz w:val="20"/>
                  <w:u w:val="single"/>
                </w:rPr>
                <w:t>Notes to Consolidated Financial Statements</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55">
              <w:r>
                <w:rPr>
                  <w:rStyle w:val="InternetLink"/>
                  <w:rFonts w:ascii="Times New Roman;serif" w:hAnsi="Times New Roman;serif"/>
                  <w:b w:val="false"/>
                  <w:color w:val="0000FF"/>
                  <w:sz w:val="20"/>
                  <w:u w:val="single"/>
                </w:rPr>
                <w:t>10</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169">
              <w:r>
                <w:rPr>
                  <w:rStyle w:val="InternetLink"/>
                  <w:rFonts w:ascii="Times New Roman;serif" w:hAnsi="Times New Roman;serif"/>
                  <w:b w:val="false"/>
                  <w:color w:val="0000FF"/>
                  <w:sz w:val="20"/>
                  <w:u w:val="single"/>
                </w:rPr>
                <w:t>Item 2.</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16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169">
              <w:r>
                <w:rPr>
                  <w:rStyle w:val="InternetLink"/>
                  <w:rFonts w:ascii="Times New Roman;serif" w:hAnsi="Times New Roman;serif"/>
                  <w:b w:val="false"/>
                  <w:color w:val="0000FF"/>
                  <w:sz w:val="20"/>
                  <w:u w:val="single"/>
                </w:rPr>
                <w:t>30</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208">
              <w:r>
                <w:rPr>
                  <w:rStyle w:val="InternetLink"/>
                  <w:rFonts w:ascii="Times New Roman;serif" w:hAnsi="Times New Roman;serif"/>
                  <w:b w:val="false"/>
                  <w:color w:val="0000FF"/>
                  <w:sz w:val="20"/>
                  <w:u w:val="single"/>
                </w:rPr>
                <w:t>Item 3.</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08">
              <w:r>
                <w:rPr>
                  <w:rStyle w:val="InternetLink"/>
                  <w:rFonts w:ascii="Times New Roman;serif" w:hAnsi="Times New Roman;serif"/>
                  <w:b w:val="false"/>
                  <w:color w:val="0000FF"/>
                  <w:sz w:val="20"/>
                  <w:u w:val="single"/>
                </w:rPr>
                <w:t>Quantitative and Qualitative Disclosures About Market Risk</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08">
              <w:r>
                <w:rPr>
                  <w:rStyle w:val="InternetLink"/>
                  <w:rFonts w:ascii="Times New Roman;serif" w:hAnsi="Times New Roman;serif"/>
                  <w:b w:val="false"/>
                  <w:color w:val="0000FF"/>
                  <w:sz w:val="20"/>
                  <w:u w:val="single"/>
                </w:rPr>
                <w:t>42</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211">
              <w:r>
                <w:rPr>
                  <w:rStyle w:val="InternetLink"/>
                  <w:rFonts w:ascii="Times New Roman;serif" w:hAnsi="Times New Roman;serif"/>
                  <w:b w:val="false"/>
                  <w:color w:val="0000FF"/>
                  <w:sz w:val="20"/>
                  <w:u w:val="single"/>
                </w:rPr>
                <w:t>Item 4.</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11">
              <w:r>
                <w:rPr>
                  <w:rStyle w:val="InternetLink"/>
                  <w:rFonts w:ascii="Times New Roman;serif" w:hAnsi="Times New Roman;serif"/>
                  <w:b w:val="false"/>
                  <w:color w:val="0000FF"/>
                  <w:sz w:val="20"/>
                  <w:u w:val="single"/>
                </w:rPr>
                <w:t>Controls and Procedures</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11">
              <w:r>
                <w:rPr>
                  <w:rStyle w:val="InternetLink"/>
                  <w:rFonts w:ascii="Times New Roman;serif" w:hAnsi="Times New Roman;serif"/>
                  <w:b w:val="false"/>
                  <w:color w:val="0000FF"/>
                  <w:sz w:val="20"/>
                  <w:u w:val="single"/>
                </w:rPr>
                <w:t>42</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aad1dba49c14c3ca879927645e3342a_214">
              <w:r>
                <w:rPr>
                  <w:rStyle w:val="InternetLink"/>
                  <w:rFonts w:ascii="Times New Roman;serif" w:hAnsi="Times New Roman;serif"/>
                  <w:b w:val="false"/>
                  <w:color w:val="0000FF"/>
                  <w:sz w:val="20"/>
                  <w:u w:val="single"/>
                </w:rPr>
                <w:t>PART II. OTHER INFORMATION</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217">
              <w:r>
                <w:rPr>
                  <w:rStyle w:val="InternetLink"/>
                  <w:rFonts w:ascii="Times New Roman;serif" w:hAnsi="Times New Roman;serif"/>
                  <w:b w:val="false"/>
                  <w:color w:val="0000FF"/>
                  <w:sz w:val="20"/>
                  <w:u w:val="single"/>
                </w:rPr>
                <w:t>Item 1.</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17">
              <w:r>
                <w:rPr>
                  <w:rStyle w:val="InternetLink"/>
                  <w:rFonts w:ascii="Times New Roman;serif" w:hAnsi="Times New Roman;serif"/>
                  <w:b w:val="false"/>
                  <w:color w:val="0000FF"/>
                  <w:sz w:val="20"/>
                  <w:u w:val="single"/>
                </w:rPr>
                <w:t>Legal Proceedings</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17">
              <w:r>
                <w:rPr>
                  <w:rStyle w:val="InternetLink"/>
                  <w:rFonts w:ascii="Times New Roman;serif" w:hAnsi="Times New Roman;serif"/>
                  <w:b w:val="false"/>
                  <w:color w:val="0000FF"/>
                  <w:sz w:val="20"/>
                  <w:u w:val="single"/>
                </w:rPr>
                <w:t>43</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220">
              <w:r>
                <w:rPr>
                  <w:rStyle w:val="InternetLink"/>
                  <w:rFonts w:ascii="Times New Roman;serif" w:hAnsi="Times New Roman;serif"/>
                  <w:b w:val="false"/>
                  <w:color w:val="0000FF"/>
                  <w:sz w:val="20"/>
                  <w:u w:val="single"/>
                </w:rPr>
                <w:t>Item 1A. </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20">
              <w:r>
                <w:rPr>
                  <w:rStyle w:val="InternetLink"/>
                  <w:rFonts w:ascii="Times New Roman;serif" w:hAnsi="Times New Roman;serif"/>
                  <w:b w:val="false"/>
                  <w:color w:val="0000FF"/>
                  <w:sz w:val="20"/>
                  <w:u w:val="single"/>
                </w:rPr>
                <w:t>Risk Factors</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20">
              <w:r>
                <w:rPr>
                  <w:rStyle w:val="InternetLink"/>
                  <w:rFonts w:ascii="Times New Roman;serif" w:hAnsi="Times New Roman;serif"/>
                  <w:b w:val="false"/>
                  <w:color w:val="0000FF"/>
                  <w:sz w:val="20"/>
                  <w:u w:val="single"/>
                </w:rPr>
                <w:t>43</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247">
              <w:r>
                <w:rPr>
                  <w:rStyle w:val="InternetLink"/>
                  <w:rFonts w:ascii="Times New Roman;serif" w:hAnsi="Times New Roman;serif"/>
                  <w:b w:val="false"/>
                  <w:color w:val="0000FF"/>
                  <w:sz w:val="20"/>
                  <w:u w:val="single"/>
                </w:rPr>
                <w:t>Item 2.</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47">
              <w:r>
                <w:rPr>
                  <w:rStyle w:val="InternetLink"/>
                  <w:rFonts w:ascii="Times New Roman;serif" w:hAnsi="Times New Roman;serif"/>
                  <w:b w:val="false"/>
                  <w:color w:val="0000FF"/>
                  <w:sz w:val="20"/>
                  <w:u w:val="single"/>
                </w:rPr>
                <w:t>Unregistered Sales of Equity Securities and Use of Proceeds</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47">
              <w:r>
                <w:rPr>
                  <w:rStyle w:val="InternetLink"/>
                  <w:rFonts w:ascii="Times New Roman;serif" w:hAnsi="Times New Roman;serif"/>
                  <w:b w:val="false"/>
                  <w:color w:val="0000FF"/>
                  <w:sz w:val="20"/>
                  <w:u w:val="single"/>
                </w:rPr>
                <w:t>43</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250">
              <w:r>
                <w:rPr>
                  <w:rStyle w:val="InternetLink"/>
                  <w:rFonts w:ascii="Times New Roman;serif" w:hAnsi="Times New Roman;serif"/>
                  <w:b w:val="false"/>
                  <w:color w:val="0000FF"/>
                  <w:sz w:val="20"/>
                  <w:u w:val="single"/>
                </w:rPr>
                <w:t>Item 3.</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50">
              <w:r>
                <w:rPr>
                  <w:rStyle w:val="InternetLink"/>
                  <w:rFonts w:ascii="Times New Roman;serif" w:hAnsi="Times New Roman;serif"/>
                  <w:b w:val="false"/>
                  <w:color w:val="0000FF"/>
                  <w:sz w:val="20"/>
                  <w:u w:val="single"/>
                </w:rPr>
                <w:t>Defaults Upon Senior Securities</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50">
              <w:r>
                <w:rPr>
                  <w:rStyle w:val="InternetLink"/>
                  <w:rFonts w:ascii="Times New Roman;serif" w:hAnsi="Times New Roman;serif"/>
                  <w:b w:val="false"/>
                  <w:color w:val="0000FF"/>
                  <w:sz w:val="20"/>
                  <w:u w:val="single"/>
                </w:rPr>
                <w:t>43</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253">
              <w:r>
                <w:rPr>
                  <w:rStyle w:val="InternetLink"/>
                  <w:rFonts w:ascii="Times New Roman;serif" w:hAnsi="Times New Roman;serif"/>
                  <w:b w:val="false"/>
                  <w:color w:val="0000FF"/>
                  <w:sz w:val="20"/>
                  <w:u w:val="single"/>
                </w:rPr>
                <w:t>Item 4.</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53">
              <w:r>
                <w:rPr>
                  <w:rStyle w:val="InternetLink"/>
                  <w:rFonts w:ascii="Times New Roman;serif" w:hAnsi="Times New Roman;serif"/>
                  <w:b w:val="false"/>
                  <w:color w:val="0000FF"/>
                  <w:sz w:val="20"/>
                  <w:u w:val="single"/>
                </w:rPr>
                <w:t>Mine Safety Disclosures</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53">
              <w:r>
                <w:rPr>
                  <w:rStyle w:val="InternetLink"/>
                  <w:rFonts w:ascii="Times New Roman;serif" w:hAnsi="Times New Roman;serif"/>
                  <w:b w:val="false"/>
                  <w:color w:val="0000FF"/>
                  <w:sz w:val="20"/>
                  <w:u w:val="single"/>
                </w:rPr>
                <w:t>43</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256">
              <w:r>
                <w:rPr>
                  <w:rStyle w:val="InternetLink"/>
                  <w:rFonts w:ascii="Times New Roman;serif" w:hAnsi="Times New Roman;serif"/>
                  <w:b w:val="false"/>
                  <w:color w:val="0000FF"/>
                  <w:sz w:val="20"/>
                  <w:u w:val="single"/>
                </w:rPr>
                <w:t>Item 5.</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56">
              <w:r>
                <w:rPr>
                  <w:rStyle w:val="InternetLink"/>
                  <w:rFonts w:ascii="Times New Roman;serif" w:hAnsi="Times New Roman;serif"/>
                  <w:b w:val="false"/>
                  <w:color w:val="0000FF"/>
                  <w:sz w:val="20"/>
                  <w:u w:val="single"/>
                </w:rPr>
                <w:t>Other Information</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56">
              <w:r>
                <w:rPr>
                  <w:rStyle w:val="InternetLink"/>
                  <w:rFonts w:ascii="Times New Roman;serif" w:hAnsi="Times New Roman;serif"/>
                  <w:b w:val="false"/>
                  <w:color w:val="0000FF"/>
                  <w:sz w:val="20"/>
                  <w:u w:val="single"/>
                </w:rPr>
                <w:t>44</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aad1dba49c14c3ca879927645e3342a_262">
              <w:r>
                <w:rPr>
                  <w:rStyle w:val="InternetLink"/>
                  <w:rFonts w:ascii="Times New Roman;serif" w:hAnsi="Times New Roman;serif"/>
                  <w:b w:val="false"/>
                  <w:color w:val="0000FF"/>
                  <w:sz w:val="20"/>
                  <w:u w:val="single"/>
                </w:rPr>
                <w:t>Item 6.</w:t>
              </w:r>
            </w:hyperlink>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62">
              <w:r>
                <w:rPr>
                  <w:rStyle w:val="InternetLink"/>
                  <w:rFonts w:ascii="Times New Roman;serif" w:hAnsi="Times New Roman;serif"/>
                  <w:b w:val="false"/>
                  <w:color w:val="0000FF"/>
                  <w:sz w:val="20"/>
                  <w:u w:val="single"/>
                </w:rPr>
                <w:t>Exhibits</w:t>
              </w:r>
            </w:hyperlink>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d1dba49c14c3ca879927645e3342a_262">
              <w:r>
                <w:rPr>
                  <w:rStyle w:val="InternetLink"/>
                  <w:rFonts w:ascii="Times New Roman;serif" w:hAnsi="Times New Roman;serif"/>
                  <w:b w:val="false"/>
                  <w:color w:val="0000FF"/>
                  <w:sz w:val="20"/>
                  <w:u w:val="single"/>
                </w:rPr>
                <w:t>45</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d1dba49c14c3ca879927645e3342a_268">
              <w:r>
                <w:rPr>
                  <w:rStyle w:val="InternetLink"/>
                  <w:rFonts w:ascii="Times New Roman;serif" w:hAnsi="Times New Roman;serif"/>
                  <w:b w:val="false"/>
                  <w:color w:val="0000FF"/>
                  <w:sz w:val="20"/>
                  <w:u w:val="single"/>
                </w:rPr>
                <w:t>Signatures</w:t>
              </w:r>
            </w:hyperlink>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future pandemics or similar events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future results of operations and financial position, business strategy, and the length of time that we believe our existing cash resources will fund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availability and use of funds under our Loan Agreement (as defined herein) with K2 HealthVentures LLC, or K2HV;</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compliance with certain covenants under our Loan Agreement with K2HV that could adversely affect our operations and, in the case of an event of default, could result in us being obligated to repay any outstanding indebtedness sooner than planned and possibly at a time when we do not have sufficient capital to meet this obligation;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market size and our potential growth opportunities;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preclinical and clinical development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dependence on third-parties, including contract research organizations in the conduct of our pre-clinical studies and clinical trials;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efficacy and safety profile of our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potential therapeutic benefits and economic value of our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and results of preclinical studies and clinical trials;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potential impairment of our goodwill and indefinite lived intangible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expected impact of macroeconomic conditions, including inflation, increasing interest rates, volatile market conditions and current or potential bank failures;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global events, including the ongoing conflicts between Russia and Ukraine, the ongoing conflict in the Middle East and geopolitical tensions with China;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political uncertainty on our product development;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receipt and timing of potential regulatory designations, approvals and commercialization of our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prevent or minimize the effects of litigation and other contingencies;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status as a development-stage company and our expectation to incur losses in the future, and the possibility that we never achieve or maintain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uncertainties with respect to our ability to access future capital;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maximize the value of our pipeline of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unproven approach to therapeutic intervention;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enroll patients in clinical trials, timely and successfully complete those trials and receive necessary regulatory approvals;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continue to grow our manufacturing capabilities and resources;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manufacture our product candidates, which in some cases are manufactured on a patient-by-patient basis;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receive or manufacture sufficient quantities of our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our existing or future collaborations or licenses and to seek new collaborations, licenses or 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protect and enforce our intellectual property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federal, state, and foreign regulatory requirements, including U.S. Food and Drug Administration, or FDA, regulation of our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obtain and retain key executives and retain qualified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relating to our competitors and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future payouts under the contingent value rights, or CVR, issued to our holders of record as of the close of business on December 4, 2023;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monetize any of our legacy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we operate in an evolving environment. New risks and uncertainties may emerge from time to time, and it is not possible for management to predict all risk and uncertainties.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120" w:after="120"/>
        <w:ind w:left="0" w:right="0" w:firstLine="36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Cartesian Therapeutics, Inc.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(Amounts in thousands, except share data and par value)</w:t>
      </w:r>
    </w:p>
    <w:tbl>
      <w:tblPr>
        <w:tblW w:w="10205" w:type="dxa"/>
        <w:jc w:val="center"/>
        <w:tblInd w:w="0" w:type="dxa"/>
        <w:tblLayout w:type="fixed"/>
        <w:tblCellMar>
          <w:top w:w="28" w:type="dxa"/>
          <w:left w:w="28" w:type="dxa"/>
          <w:bottom w:w="28" w:type="dxa"/>
          <w:right w:w="28" w:type="dxa"/>
        </w:tblCellMar>
      </w:tblPr>
      <w:tblGrid>
        <w:gridCol w:w="2892"/>
        <w:gridCol w:w="2337"/>
        <w:gridCol w:w="2277"/>
        <w:gridCol w:w="211"/>
        <w:gridCol w:w="826"/>
        <w:gridCol w:w="109"/>
        <w:gridCol w:w="109"/>
        <w:gridCol w:w="109"/>
        <w:gridCol w:w="109"/>
        <w:gridCol w:w="217"/>
        <w:gridCol w:w="849"/>
        <w:gridCol w:w="160"/>
      </w:tblGrid>
      <w:tr>
        <w:trPr/>
        <w:tc>
          <w:tcPr>
            <w:tcW w:w="2892"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129,276 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296,411 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value rights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 $0.0001 par value; 112,164.533 and 134,904.563 shares authorized as of June 30, 2026 and December 31, 2025, respectively; 98,050.372 and 120,790.402 shares issued and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 Preferred Stock, $0.0001 par value; 437,927 shares authorized as of June 30, 2026 and December 31, 2025; 437,927 shares issued and outstanding as of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9,449,908.467 and 9,427,168.437 shares authorized as of June 30, 2026 and December 31, 2025, respectively; no shares issued and outstanding as of June 30, 2026 and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350,000,000 shares authorized as of June 30, 2026 and December 31, 2025; 30,037,962 and 26,011,106 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296,411 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Cartesian Therapeutics, Inc.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698"/>
        <w:gridCol w:w="1339"/>
        <w:gridCol w:w="1353"/>
        <w:gridCol w:w="244"/>
        <w:gridCol w:w="837"/>
        <w:gridCol w:w="114"/>
        <w:gridCol w:w="114"/>
        <w:gridCol w:w="114"/>
        <w:gridCol w:w="114"/>
        <w:gridCol w:w="244"/>
        <w:gridCol w:w="837"/>
        <w:gridCol w:w="114"/>
        <w:gridCol w:w="109"/>
        <w:gridCol w:w="109"/>
        <w:gridCol w:w="109"/>
        <w:gridCol w:w="240"/>
        <w:gridCol w:w="841"/>
        <w:gridCol w:w="109"/>
        <w:gridCol w:w="109"/>
        <w:gridCol w:w="109"/>
        <w:gridCol w:w="109"/>
        <w:gridCol w:w="270"/>
        <w:gridCol w:w="811"/>
        <w:gridCol w:w="158"/>
      </w:tblGrid>
      <w:tr>
        <w:trPr/>
        <w:tc>
          <w:tcPr>
            <w:tcW w:w="169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warrant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embedded derivative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contingent value rights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allocable to shares of common stock:</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earnings allocable to participating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allocable to shares of common stock - basic and diluted</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allocable to common stockholders: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29,467,130 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25,980,262 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25,941,670 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29,860,880 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26,447,251 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25,941,670 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before="60" w:after="60"/>
        <w:ind w:left="0" w:right="0" w:firstLine="360"/>
        <w:jc w:val="center"/>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Cartesian Therapeutics, Inc.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Deficit</w:t>
      </w:r>
    </w:p>
    <w:p>
      <w:pPr>
        <w:pStyle w:val="TextBody"/>
        <w:bidi w:val="0"/>
        <w:spacing w:lineRule="auto" w:line="288" w:before="0" w:after="60"/>
        <w:ind w:left="0" w:right="0" w:firstLine="36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tbl>
      <w:tblPr>
        <w:tblW w:w="14697" w:type="dxa"/>
        <w:jc w:val="center"/>
        <w:tblInd w:w="0" w:type="dxa"/>
        <w:tblLayout w:type="fixed"/>
        <w:tblCellMar>
          <w:top w:w="28" w:type="dxa"/>
          <w:left w:w="28" w:type="dxa"/>
          <w:bottom w:w="28" w:type="dxa"/>
          <w:right w:w="28" w:type="dxa"/>
        </w:tblCellMar>
      </w:tblPr>
      <w:tblGrid>
        <w:gridCol w:w="638"/>
        <w:gridCol w:w="311"/>
        <w:gridCol w:w="312"/>
        <w:gridCol w:w="593"/>
        <w:gridCol w:w="593"/>
        <w:gridCol w:w="226"/>
        <w:gridCol w:w="266"/>
        <w:gridCol w:w="406"/>
        <w:gridCol w:w="109"/>
        <w:gridCol w:w="109"/>
        <w:gridCol w:w="109"/>
        <w:gridCol w:w="109"/>
        <w:gridCol w:w="413"/>
        <w:gridCol w:w="413"/>
        <w:gridCol w:w="226"/>
        <w:gridCol w:w="266"/>
        <w:gridCol w:w="406"/>
        <w:gridCol w:w="109"/>
        <w:gridCol w:w="109"/>
        <w:gridCol w:w="109"/>
        <w:gridCol w:w="109"/>
        <w:gridCol w:w="540"/>
        <w:gridCol w:w="541"/>
        <w:gridCol w:w="226"/>
        <w:gridCol w:w="319"/>
        <w:gridCol w:w="387"/>
        <w:gridCol w:w="168"/>
        <w:gridCol w:w="109"/>
        <w:gridCol w:w="109"/>
        <w:gridCol w:w="109"/>
        <w:gridCol w:w="211"/>
        <w:gridCol w:w="826"/>
        <w:gridCol w:w="109"/>
        <w:gridCol w:w="109"/>
        <w:gridCol w:w="109"/>
        <w:gridCol w:w="109"/>
        <w:gridCol w:w="109"/>
        <w:gridCol w:w="109"/>
        <w:gridCol w:w="211"/>
        <w:gridCol w:w="896"/>
        <w:gridCol w:w="109"/>
        <w:gridCol w:w="109"/>
        <w:gridCol w:w="109"/>
        <w:gridCol w:w="109"/>
        <w:gridCol w:w="306"/>
        <w:gridCol w:w="916"/>
        <w:gridCol w:w="159"/>
        <w:gridCol w:w="109"/>
        <w:gridCol w:w="109"/>
        <w:gridCol w:w="109"/>
        <w:gridCol w:w="228"/>
        <w:gridCol w:w="910"/>
        <w:gridCol w:w="168"/>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Stockholders’ deficit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120,790.402 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26,011,106 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93,632 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through at the market offering, net of commissions and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2,270,712 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120,790.402 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28,544,728 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(148,118)</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A Preferred Stock to common stock</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(22,740.030)</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758,001 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through at the market offering, net of commissions and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98,050.372 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30,037,962 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(125,226)</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Cartesian Therapeutics, Inc.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Deficit</w:t>
      </w:r>
    </w:p>
    <w:p>
      <w:pPr>
        <w:pStyle w:val="TextBody"/>
        <w:bidi w:val="0"/>
        <w:spacing w:lineRule="auto" w:line="288" w:before="0" w:after="60"/>
        <w:ind w:left="0" w:right="0" w:firstLine="36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tbl>
      <w:tblPr>
        <w:tblW w:w="14697" w:type="dxa"/>
        <w:jc w:val="left"/>
        <w:tblInd w:w="0" w:type="dxa"/>
        <w:tblLayout w:type="fixed"/>
        <w:tblCellMar>
          <w:top w:w="28" w:type="dxa"/>
          <w:left w:w="28" w:type="dxa"/>
          <w:bottom w:w="28" w:type="dxa"/>
          <w:right w:w="28" w:type="dxa"/>
        </w:tblCellMar>
      </w:tblPr>
      <w:tblGrid>
        <w:gridCol w:w="638"/>
        <w:gridCol w:w="311"/>
        <w:gridCol w:w="312"/>
        <w:gridCol w:w="593"/>
        <w:gridCol w:w="593"/>
        <w:gridCol w:w="226"/>
        <w:gridCol w:w="266"/>
        <w:gridCol w:w="406"/>
        <w:gridCol w:w="109"/>
        <w:gridCol w:w="109"/>
        <w:gridCol w:w="109"/>
        <w:gridCol w:w="109"/>
        <w:gridCol w:w="413"/>
        <w:gridCol w:w="413"/>
        <w:gridCol w:w="226"/>
        <w:gridCol w:w="266"/>
        <w:gridCol w:w="406"/>
        <w:gridCol w:w="109"/>
        <w:gridCol w:w="109"/>
        <w:gridCol w:w="109"/>
        <w:gridCol w:w="109"/>
        <w:gridCol w:w="540"/>
        <w:gridCol w:w="541"/>
        <w:gridCol w:w="226"/>
        <w:gridCol w:w="319"/>
        <w:gridCol w:w="387"/>
        <w:gridCol w:w="168"/>
        <w:gridCol w:w="109"/>
        <w:gridCol w:w="109"/>
        <w:gridCol w:w="109"/>
        <w:gridCol w:w="211"/>
        <w:gridCol w:w="826"/>
        <w:gridCol w:w="109"/>
        <w:gridCol w:w="109"/>
        <w:gridCol w:w="109"/>
        <w:gridCol w:w="109"/>
        <w:gridCol w:w="109"/>
        <w:gridCol w:w="109"/>
        <w:gridCol w:w="211"/>
        <w:gridCol w:w="896"/>
        <w:gridCol w:w="109"/>
        <w:gridCol w:w="109"/>
        <w:gridCol w:w="109"/>
        <w:gridCol w:w="109"/>
        <w:gridCol w:w="306"/>
        <w:gridCol w:w="916"/>
        <w:gridCol w:w="159"/>
        <w:gridCol w:w="109"/>
        <w:gridCol w:w="109"/>
        <w:gridCol w:w="109"/>
        <w:gridCol w:w="250"/>
        <w:gridCol w:w="873"/>
        <w:gridCol w:w="183"/>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Stockholders’ deficit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120,790.402 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25,767,369 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55,690 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120,790.402 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25,936,101 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(21,789)</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25,690 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120,790.402 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26,000,065 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pPr>
      <w:r>
        <w:rPr>
          <w:rFonts w:ascii="Times New Roman;serif" w:hAnsi="Times New Roman;serif"/>
          <w:b w:val="false"/>
          <w:i/>
          <w:color w:val="000000"/>
          <w:sz w:val="20"/>
        </w:rPr>
        <w:t>The accompanying notes are an integral part of these unaudited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Cartesian Therapeutics, Inc. and Subsidiaries </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60"/>
        <w:ind w:left="0" w:right="0" w:firstLine="36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674" w:type="dxa"/>
        <w:jc w:val="center"/>
        <w:tblInd w:w="0" w:type="dxa"/>
        <w:tblLayout w:type="fixed"/>
        <w:tblCellMar>
          <w:top w:w="28" w:type="dxa"/>
          <w:left w:w="28" w:type="dxa"/>
          <w:bottom w:w="28" w:type="dxa"/>
          <w:right w:w="28" w:type="dxa"/>
        </w:tblCellMar>
      </w:tblPr>
      <w:tblGrid>
        <w:gridCol w:w="2336"/>
        <w:gridCol w:w="2057"/>
        <w:gridCol w:w="2072"/>
        <w:gridCol w:w="211"/>
        <w:gridCol w:w="826"/>
        <w:gridCol w:w="109"/>
        <w:gridCol w:w="109"/>
        <w:gridCol w:w="109"/>
        <w:gridCol w:w="109"/>
        <w:gridCol w:w="211"/>
        <w:gridCol w:w="826"/>
        <w:gridCol w:w="109"/>
        <w:gridCol w:w="109"/>
        <w:gridCol w:w="109"/>
        <w:gridCol w:w="109"/>
        <w:gridCol w:w="109"/>
        <w:gridCol w:w="154"/>
      </w:tblGrid>
      <w:tr>
        <w:trPr/>
        <w:tc>
          <w:tcPr>
            <w:tcW w:w="2336"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w:t>
              <w:noBreakHyphen/>
              <w:t>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w:t>
              <w:noBreakHyphen/>
              <w:t>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w:t>
              <w:noBreakHyphen/>
              <w:t>cash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warrant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embedded derivative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contingent value rights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offering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 the market offering, net of commissions and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contingent value rights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not yet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offering costs in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embedded derivative recorded in connection with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ind w:left="0" w:right="0" w:firstLine="360"/>
        <w:jc w:val="center"/>
        <w:rPr/>
      </w:pPr>
      <w:r>
        <w:rPr>
          <w:rFonts w:ascii="Times New Roman;serif" w:hAnsi="Times New Roman;serif"/>
          <w:b w:val="false"/>
          <w:i/>
          <w:color w:val="000000"/>
          <w:sz w:val="18"/>
        </w:rPr>
        <w:t>The accompanying notes are an integral part of these unaudited consolidated financial statements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60" w:after="60"/>
        <w:ind w:left="0" w:right="0" w:firstLine="360"/>
        <w:jc w:val="center"/>
        <w:rPr/>
      </w:pPr>
      <w:r>
        <w:rPr>
          <w:rFonts w:ascii="Times New Roman;serif" w:hAnsi="Times New Roman;serif"/>
          <w:b/>
          <w:color w:val="000000"/>
          <w:sz w:val="18"/>
        </w:rPr>
        <w:t>Cartesian Therapeutics, Inc.</w:t>
      </w:r>
      <w:r>
        <w:rPr>
          <w:color w:val="000000"/>
        </w:rPr>
        <w:t xml:space="preserve"> </w:t>
      </w:r>
      <w:r>
        <w:rPr>
          <w:rFonts w:ascii="Times New Roman;serif" w:hAnsi="Times New Roman;serif"/>
          <w:b/>
          <w:color w:val="000000"/>
          <w:sz w:val="20"/>
        </w:rPr>
        <w:t>and Subsidiaries</w:t>
      </w:r>
    </w:p>
    <w:p>
      <w:pPr>
        <w:pStyle w:val="TextBody"/>
        <w:bidi w:val="0"/>
        <w:spacing w:lineRule="auto" w:line="288" w:before="120" w:after="12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Description of the Business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Cartesian Therapeutics, Inc., or the Company, </w:t>
      </w:r>
      <w:r>
        <w:rPr>
          <w:rFonts w:ascii="Times New Roman;serif" w:hAnsi="Times New Roman;serif"/>
          <w:b w:val="false"/>
          <w:color w:val="231F20"/>
          <w:sz w:val="20"/>
        </w:rPr>
        <w:t>was</w:t>
      </w:r>
      <w:r>
        <w:rPr>
          <w:color w:val="000000"/>
        </w:rPr>
        <w:t xml:space="preserve"> </w:t>
      </w:r>
      <w:r>
        <w:rPr>
          <w:rFonts w:ascii="Times New Roman;serif" w:hAnsi="Times New Roman;serif"/>
          <w:b w:val="false"/>
          <w:color w:val="000000"/>
          <w:sz w:val="20"/>
        </w:rPr>
        <w:t xml:space="preserve">incorporated in Delaware on December 10, 2007, and is headquartered in Frederick, Maryland. The Company is a late clinical-stage biotechnology company </w:t>
      </w:r>
      <w:r>
        <w:rPr>
          <w:rFonts w:ascii="Times New Roman;serif" w:hAnsi="Times New Roman;serif"/>
          <w:b w:val="false"/>
          <w:color w:val="231F20"/>
          <w:sz w:val="20"/>
        </w:rPr>
        <w:t>pioneering cell therapy for the treatment of autoimmune diseases. The Company leverages its proprietary technology and manufacturing platform to introduce mRNA into cells to provide a therapeutic effect to patients suffering from a variety of autoimmune conditions. Unlike DNA, mRNA degrades naturally over time without integrating into the cell’s genetic material. The Company’s cell therapies are designed to be dosed repeatedly like conventional drugs, administered in an outpatient setting and given without pre-treatment chemotherapy, which is required with many conventional cell therapies.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Company’s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aims to provide a personalized approach to treating patients that begins with the collection of a patient’s cells, which are then used to manufacture the Company’s cell therapy product candidates. Once a patient’s cells have expanded in the Company’s process, mRNA is introduced to deliver a chimeric antigen receptor into the cell. Once the manufacturing process is complete, the product candidate is sent back to the treating physician where they administer six weekly infusions of the Company’s cell therapy candidate to the patient. The Company’s product candidates are specifically designed to target and destroy the pathogenic, self-reactive cells that are the underlying cause of the autoimmune disease, with the goal of creating a precision immune reset for the patient.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Descartes-08, the Company’s lead cell therapy product candidate, is an autologous chimeric antigen receptor T-cell therapy, or CAR-T, product targeting B-cell maturation antigen, or BCMA, in clinical development for the treatment of generalized myasthenia gravis, or MG, and myositis, specifically, moderate to severe multi-refractory dermatomyositis and antisynthetase syndrome. In contrast to conventional DNA-based CAR T-cell therapies, the Company’s CAR-T administration is designed to not require preconditioning chemotherapy, to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or FDA, for the treatment of MG, and Rare Pediatric Disease Designation for the treatment of juvenile dermatomyositis.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Management’s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an accumulated deficit of $845.8 million. The Company anticipates operating losses to continue for the foreseeable future due to, among other things, costs related to research and development of its product candidates and its administrative organization. The future success of the Company is dependent on its ability to develop its product candidates and ultimately upon its ability to attain and sustain profitable operations. The successful development of product candidates requires substantial working capital, which may not be available to the Company on favorable terms or at all.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cash, cash equivalents, and restricted cash were $149.3 million, of which $1.7 million was restricted cash related to lease commitments. The Company believes the cash, cash equivalents and restricted cash as of June 30, 2026 will enable it to fund its current planned operations for at least the next 12 months from the filing of this Quarterly Report.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22, 2026, the Company entered into the Loan Agreement (as defined below) with K2HV (as defined below), providing for Term Loan Facility (as defined below) with aggregate commitments of up to $150.0 million available in four tranches, subject to the satisfaction of certain conditions precedent. As of June 30, 2026, the Company has borrowed $50.0 million under the Loan Agreement. See Note 9, “Debt” for more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5, “Fair Value Measurements”.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 owned subsidiaries, Selecta (RUS), LLC, or Selecta (RUS), a Russian limited liability corporation, and Cartesian Bio, LLC, a Delaware limited liability company, which is a variable interest entity for which the Company is the primary beneficiary and have been prepared in conformity with accounting principles generally accepted in the United States of America, or U.S. GAAP. Any reference in these notes to applicable guidance is meant to refer to the authoritative United States generally accepted accounting principles as found in the relevant Accounting Standards Codification, or ASC, and Accounting Standards Update, or ASU, of the Financial Accounting Standards Board, or FASB. All significant intercompany accounts and transactions have been eliminated.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for the three and six months ended June 30, 2026 and 2025 have been prepared by the Company pursuant to the rules and regulations of the Securities and Exchange Commission, or the SEC, for interim financial statements. Certain information and footnote disclosures normally included in financial statements prepared in accordance with U.S. GAAP have been condensed or omitted pursuant to such rules and regulations. These consolidated financial statements should be read in conjunction with the Company’s audited consolidated financial statements and the notes thereto for the year ended December 31, 2025 included in the Company’s Annual Report on Form 10-K that was filed with the SEC on March 9, 2026.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2026, the consolidated results of operations for the three and six months ended June 30, 2026, and cash flows for the six months ended June 30, 2026. Such adjustments are of a normal and recurring nature. The results of operations for the three and six months ended June 30, 2026 are not necessarily indicative of the results of operations that may be expected for the year ending December 31,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disclosed its significant accounting policies in Note 2, “Summary of Significant Accounting Policies” included in the Company’s Annual Report on Form 10-K for the year ended December 31, 2025. Other than described below, there have been no material changes to the Company’s significant accounting policies during the six months ended June 30,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estimated accrued research and development expenses, stock-based compensation expense, estimated fair value of the liability-classified warrants, estimated fair value of the embedded derivative and estimated fair value of the CVRs. The Company assesses the above estimates on an ongoing basis; however, actual results could materially differ from those estimates.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mainly of cash equivalents, restricted cash, accounts receivable, accounts payable, accrued expenses and other current liabilities, warrants to purchase common stock, derivatives and contingent value rights. The carrying amounts of cash equivalents, restricted cash, accounts receivable, accounts payable, and accrued expenses and other current liabilities approximate their estimated fair value due to their short-term maturities.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1—Level 1 inputs are quoted prices in active markets for identical assets or liabilities that the reporting entity has the ability to access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2—Level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3—Level 3 inputs are unobservable inputs for the asset or liability in which there is little, if any, market activity for the asset or liability at the measurement date.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the embedded derivative and contingent value rights liabilities are determined using Level 3 inputs.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accounts for debt in accordance with ASC 470,</w:t>
      </w:r>
      <w:r>
        <w:rPr>
          <w:color w:val="000000"/>
        </w:rPr>
        <w:t xml:space="preserve"> </w:t>
      </w:r>
      <w:r>
        <w:rPr>
          <w:rFonts w:ascii="Times New Roman;serif" w:hAnsi="Times New Roman;serif"/>
          <w:b w:val="false"/>
          <w:i/>
          <w:color w:val="000000"/>
          <w:sz w:val="20"/>
        </w:rPr>
        <w:t>Debt with Conversion and Other Options</w:t>
      </w:r>
      <w:r>
        <w:rPr>
          <w:color w:val="000000"/>
        </w:rPr>
        <w:t xml:space="preserve"> </w:t>
      </w:r>
      <w:r>
        <w:rPr>
          <w:rFonts w:ascii="Times New Roman;serif" w:hAnsi="Times New Roman;serif"/>
          <w:b w:val="false"/>
          <w:color w:val="000000"/>
          <w:sz w:val="20"/>
        </w:rPr>
        <w:t xml:space="preserve">and ASC 835-30, </w:t>
      </w:r>
      <w:r>
        <w:rPr>
          <w:rFonts w:ascii="Times New Roman;serif" w:hAnsi="Times New Roman;serif"/>
          <w:b w:val="false"/>
          <w:i/>
          <w:color w:val="000000"/>
          <w:sz w:val="20"/>
        </w:rPr>
        <w:t>Interest - Imputation of Interest</w:t>
      </w:r>
      <w:r>
        <w:rPr>
          <w:rFonts w:ascii="Times New Roman;serif" w:hAnsi="Times New Roman;serif"/>
          <w:b w:val="false"/>
          <w:color w:val="000000"/>
          <w:sz w:val="20"/>
        </w:rPr>
        <w:t>. Debt is initially recognized at its carrying amount, net of unamortized debt issuance costs and debt discounts. Debt issuance costs and debt discounts allocated to outstanding debt, including original issue discount and any discount arising from the allocation of proceeds to bifurcated embedded features, are presented as a direct deduction from the carrying amount of the debt and are amortized to interest expense over the contractual term of the debt using the effective interest method. Debt issuance costs and debt discounts allocated to future, potential principal amounts are treated as financial commitment assets and deferred, and are amortized straight line over the contractual term of the debt. If the potential principal becomes outstanding debt, the remaining outstanding balance of the related deferred costs are re-classified as a direct deduction from the carrying amount of the debt and are amortized to interest expense over the contractual term of the debt using the effective interest method. If the debt includes a final payment fee, that fee is treated as part of the debt’s effective yield and recognized as interest expense using the effective interest method over the term of the borrowing through accretion of the amount of the final payment fee as part of the total carrying value of the debt. Interest expense includes stated contractual interest, amortization of debt issuance costs, debt discounts, deferred debt issuance costs and deferred debt discounts, and accretion of any final payment fee.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evaluates features embedded in debt agreements to determine whether bifurcation as a derivative instrument is required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If bifurcation is required, the embedded derivative is recorded separately at fair value at inception, with an offsetting debt discount recorded against the related debt, and is subsequently remeasured to fair value at each reporting date with changes in fair value recognized in earnings. In circumstances where an embedded conversion option in a convertible instrument requires bifurcation and there are also other embedded derivative features in the convertible instrument that require bifurcation, the bifurcated derivative features are accounted for as a single, compound derivative instrument. 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consolidated balance sheets as current or non-current based on whether or not settlement of the derivative instrument could require the Company to use current assets or record or relieve a current liability at the end of each reporting period.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Not Yet Adopted</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Reporting- Comprehensive Income- Expense Disaggregation Disclosures</w:t>
      </w:r>
      <w:r>
        <w:rPr>
          <w:color w:val="000000"/>
        </w:rPr>
        <w:t xml:space="preserve"> </w:t>
      </w:r>
      <w:r>
        <w:rPr>
          <w:rFonts w:ascii="Times New Roman;serif" w:hAnsi="Times New Roman;serif"/>
          <w:b w:val="false"/>
          <w:color w:val="000000"/>
          <w:sz w:val="20"/>
        </w:rPr>
        <w:t xml:space="preserve">(ASU 2024-03), which requires public companies to disclose, in interim and annual reporting periods, additional information about certain expenses in notes to financial statements, including purchases of inventory, employee compensation, depreciation, amortization of intangible assets, and selling expenses. This guidance will be effective for the annual period beginning the year ended December 31, 2027 and for interim periods beginning January 1, 2028,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early adoption permitted. The Company is currently evaluating the impact of the standard’s adoption on its consolidated financial statements and related disclosures.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 Accounting for Government Grants Received by Business Entities</w:t>
      </w:r>
      <w:r>
        <w:rPr>
          <w:color w:val="000000"/>
        </w:rPr>
        <w:t xml:space="preserve"> </w:t>
      </w:r>
      <w:r>
        <w:rPr>
          <w:rFonts w:ascii="Times New Roman;serif" w:hAnsi="Times New Roman;serif"/>
          <w:b w:val="false"/>
          <w:color w:val="000000"/>
          <w:sz w:val="20"/>
        </w:rPr>
        <w:t>(ASU 2025-10),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 on its consolidated financial statements and related disclosures.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on its consolidated financial statements and related disclosures.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 xml:space="preserve">Codification Improvements </w:t>
      </w:r>
      <w:r>
        <w:rPr>
          <w:rFonts w:ascii="Times New Roman;serif" w:hAnsi="Times New Roman;serif"/>
          <w:b w:val="false"/>
          <w:color w:val="000000"/>
          <w:sz w:val="20"/>
        </w:rPr>
        <w:t>(ASU 2025-12), which</w:t>
      </w:r>
      <w:r>
        <w:rPr>
          <w:color w:val="000000"/>
        </w:rPr>
        <w:t xml:space="preserve"> </w:t>
      </w:r>
      <w:r>
        <w:rPr>
          <w:rFonts w:ascii="Times New Roman;serif" w:hAnsi="Times New Roman;serif"/>
          <w:b w:val="false"/>
          <w:color w:val="000000"/>
          <w:sz w:val="20"/>
        </w:rPr>
        <w:t xml:space="preserve">addresses suggestions received from stakeholders regarding the ASC and makes other incremental improvements to U.S. GAAP. The update represents changes to the ASC that clarify, correct errors in or make other improvements to a variety of topics that are intended to make it easier to understand and apply. ASU 2025-12 is effective for fiscal years beginning after December 15, 2026 and interim periods within those fiscal years. Entities are required to apply the amendments to ASC 260 </w:t>
      </w:r>
      <w:r>
        <w:rPr>
          <w:rFonts w:ascii="Times New Roman;serif" w:hAnsi="Times New Roman;serif"/>
          <w:b w:val="false"/>
          <w:i/>
          <w:color w:val="000000"/>
          <w:sz w:val="20"/>
        </w:rPr>
        <w:t>Earnings Per Share</w:t>
      </w:r>
      <w:r>
        <w:rPr>
          <w:color w:val="000000"/>
        </w:rPr>
        <w:t xml:space="preserve"> </w:t>
      </w:r>
      <w:r>
        <w:rPr>
          <w:rFonts w:ascii="Times New Roman;serif" w:hAnsi="Times New Roman;serif"/>
          <w:b w:val="false"/>
          <w:color w:val="000000"/>
          <w:sz w:val="20"/>
        </w:rPr>
        <w:t>retrospectively. All other amendments may be applied prospectively or retrospectively. The Company is currently evaluating the impact of adopting ASU 2025-12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3. Goodwill and Indefinite-Lived Intangible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goodwill of approximately $48.2 million and an indefinite-lived intangible asset of $93.9 million related to Descartes-08 for MG.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to the carrying value of the Company’s goodwill or in-process research and development asset related to Descartes-08 for MG during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4. Net Income (Loss) Per Share Allocable to Common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(loss) per share allocable to common stockholders for the three and six months ended June 30, 2026 and 2025 (in thousands, except share and per-share data):</w:t>
      </w:r>
    </w:p>
    <w:tbl>
      <w:tblPr>
        <w:tblW w:w="10205" w:type="dxa"/>
        <w:jc w:val="left"/>
        <w:tblInd w:w="0" w:type="dxa"/>
        <w:tblLayout w:type="fixed"/>
        <w:tblCellMar>
          <w:top w:w="28" w:type="dxa"/>
          <w:left w:w="28" w:type="dxa"/>
          <w:bottom w:w="28" w:type="dxa"/>
          <w:right w:w="28" w:type="dxa"/>
        </w:tblCellMar>
      </w:tblPr>
      <w:tblGrid>
        <w:gridCol w:w="1699"/>
        <w:gridCol w:w="1342"/>
        <w:gridCol w:w="1348"/>
        <w:gridCol w:w="244"/>
        <w:gridCol w:w="837"/>
        <w:gridCol w:w="114"/>
        <w:gridCol w:w="114"/>
        <w:gridCol w:w="114"/>
        <w:gridCol w:w="114"/>
        <w:gridCol w:w="244"/>
        <w:gridCol w:w="837"/>
        <w:gridCol w:w="114"/>
        <w:gridCol w:w="109"/>
        <w:gridCol w:w="109"/>
        <w:gridCol w:w="109"/>
        <w:gridCol w:w="240"/>
        <w:gridCol w:w="841"/>
        <w:gridCol w:w="109"/>
        <w:gridCol w:w="109"/>
        <w:gridCol w:w="109"/>
        <w:gridCol w:w="109"/>
        <w:gridCol w:w="270"/>
        <w:gridCol w:w="811"/>
        <w:gridCol w:w="159"/>
      </w:tblGrid>
      <w:tr>
        <w:trPr/>
        <w:tc>
          <w:tcPr>
            <w:tcW w:w="169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Numerators:</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earnings allocable to participating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allocable to shares of common stock - basic and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29,467,130 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25,980,262 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25,941,670 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equity incentive plans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393,750 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466,989 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29,860,880 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26,447,251 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28,142,256 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25,941,670 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allocable to common stockholders: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the potential dilutive shares of common stock excluded from the computation of the diluted net income (loss) per share allocable to common stockholders for all periods presented, as the effect would have been anti-dilutive: </w:t>
      </w:r>
    </w:p>
    <w:tbl>
      <w:tblPr>
        <w:tblW w:w="10205" w:type="dxa"/>
        <w:jc w:val="left"/>
        <w:tblInd w:w="0" w:type="dxa"/>
        <w:tblLayout w:type="fixed"/>
        <w:tblCellMar>
          <w:top w:w="28" w:type="dxa"/>
          <w:left w:w="28" w:type="dxa"/>
          <w:bottom w:w="28" w:type="dxa"/>
          <w:right w:w="28" w:type="dxa"/>
        </w:tblCellMar>
      </w:tblPr>
      <w:tblGrid>
        <w:gridCol w:w="1279"/>
        <w:gridCol w:w="1090"/>
        <w:gridCol w:w="1099"/>
        <w:gridCol w:w="681"/>
        <w:gridCol w:w="295"/>
        <w:gridCol w:w="254"/>
        <w:gridCol w:w="254"/>
        <w:gridCol w:w="254"/>
        <w:gridCol w:w="254"/>
        <w:gridCol w:w="681"/>
        <w:gridCol w:w="295"/>
        <w:gridCol w:w="254"/>
        <w:gridCol w:w="109"/>
        <w:gridCol w:w="109"/>
        <w:gridCol w:w="109"/>
        <w:gridCol w:w="603"/>
        <w:gridCol w:w="373"/>
        <w:gridCol w:w="227"/>
        <w:gridCol w:w="227"/>
        <w:gridCol w:w="227"/>
        <w:gridCol w:w="227"/>
        <w:gridCol w:w="603"/>
        <w:gridCol w:w="373"/>
        <w:gridCol w:w="328"/>
      </w:tblGrid>
      <w:tr>
        <w:trPr/>
        <w:tc>
          <w:tcPr>
            <w:tcW w:w="127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and restricted stock units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2,939,964 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2,336,681 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4,020,722 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3,030,053 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692,272 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692,523 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692,272 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692,523 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3,268,345 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4,026,346 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3,268,345 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4,026,346 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Option (See Note 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605,869 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605,869 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7,944,377 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7,493,477 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9,025,135 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8,186,849 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assets and liabilities that are measured and recorded at fair value on a recurring basis as of June 30, 2026 and December 31, 2025 (in thousands):</w:t>
      </w:r>
    </w:p>
    <w:tbl>
      <w:tblPr>
        <w:tblW w:w="9489" w:type="dxa"/>
        <w:jc w:val="left"/>
        <w:tblInd w:w="0" w:type="dxa"/>
        <w:tblLayout w:type="fixed"/>
        <w:tblCellMar>
          <w:top w:w="28" w:type="dxa"/>
          <w:left w:w="28" w:type="dxa"/>
          <w:bottom w:w="28" w:type="dxa"/>
          <w:right w:w="28" w:type="dxa"/>
        </w:tblCellMar>
      </w:tblPr>
      <w:tblGrid>
        <w:gridCol w:w="1549"/>
        <w:gridCol w:w="1364"/>
        <w:gridCol w:w="1376"/>
        <w:gridCol w:w="211"/>
        <w:gridCol w:w="826"/>
        <w:gridCol w:w="109"/>
        <w:gridCol w:w="109"/>
        <w:gridCol w:w="109"/>
        <w:gridCol w:w="109"/>
        <w:gridCol w:w="211"/>
        <w:gridCol w:w="826"/>
        <w:gridCol w:w="109"/>
        <w:gridCol w:w="109"/>
        <w:gridCol w:w="109"/>
        <w:gridCol w:w="109"/>
        <w:gridCol w:w="213"/>
        <w:gridCol w:w="411"/>
        <w:gridCol w:w="112"/>
        <w:gridCol w:w="109"/>
        <w:gridCol w:w="109"/>
        <w:gridCol w:w="109"/>
        <w:gridCol w:w="211"/>
        <w:gridCol w:w="826"/>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 (included in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value rights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89" w:type="dxa"/>
        <w:jc w:val="left"/>
        <w:tblInd w:w="0" w:type="dxa"/>
        <w:tblLayout w:type="fixed"/>
        <w:tblCellMar>
          <w:top w:w="28" w:type="dxa"/>
          <w:left w:w="28" w:type="dxa"/>
          <w:bottom w:w="28" w:type="dxa"/>
          <w:right w:w="28" w:type="dxa"/>
        </w:tblCellMar>
      </w:tblPr>
      <w:tblGrid>
        <w:gridCol w:w="1549"/>
        <w:gridCol w:w="1364"/>
        <w:gridCol w:w="1376"/>
        <w:gridCol w:w="211"/>
        <w:gridCol w:w="826"/>
        <w:gridCol w:w="109"/>
        <w:gridCol w:w="109"/>
        <w:gridCol w:w="109"/>
        <w:gridCol w:w="109"/>
        <w:gridCol w:w="211"/>
        <w:gridCol w:w="826"/>
        <w:gridCol w:w="109"/>
        <w:gridCol w:w="109"/>
        <w:gridCol w:w="109"/>
        <w:gridCol w:w="109"/>
        <w:gridCol w:w="213"/>
        <w:gridCol w:w="411"/>
        <w:gridCol w:w="112"/>
        <w:gridCol w:w="109"/>
        <w:gridCol w:w="109"/>
        <w:gridCol w:w="109"/>
        <w:gridCol w:w="211"/>
        <w:gridCol w:w="826"/>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 (included in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value rights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transfers within the fair value hierarchy during the six months ended June 30, 2026 or the year ended December 31, 2025.</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Cash, Cash Equivalents, and Restricted Cash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money market funds were classified as cash and cash equivalents on the accompanying consolidated balance sheets as they mature within 90 days from the date of purchase.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restricted cash balances relating to secured letters of credit in connection with its real estate leases. The Company’s consolidated statements of cash flows include the following as of June 30, 2026 and 2025 (in thousands):</w:t>
      </w:r>
    </w:p>
    <w:tbl>
      <w:tblPr>
        <w:tblW w:w="7199" w:type="dxa"/>
        <w:jc w:val="left"/>
        <w:tblInd w:w="0" w:type="dxa"/>
        <w:tblLayout w:type="fixed"/>
        <w:tblCellMar>
          <w:top w:w="28" w:type="dxa"/>
          <w:left w:w="28" w:type="dxa"/>
          <w:bottom w:w="28" w:type="dxa"/>
          <w:right w:w="28" w:type="dxa"/>
        </w:tblCellMar>
      </w:tblPr>
      <w:tblGrid>
        <w:gridCol w:w="1445"/>
        <w:gridCol w:w="1269"/>
        <w:gridCol w:w="1276"/>
        <w:gridCol w:w="211"/>
        <w:gridCol w:w="826"/>
        <w:gridCol w:w="109"/>
        <w:gridCol w:w="109"/>
        <w:gridCol w:w="109"/>
        <w:gridCol w:w="109"/>
        <w:gridCol w:w="211"/>
        <w:gridCol w:w="826"/>
        <w:gridCol w:w="109"/>
        <w:gridCol w:w="109"/>
        <w:gridCol w:w="109"/>
        <w:gridCol w:w="109"/>
        <w:gridCol w:w="109"/>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Warrants to Purchase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the fair value of the 2022 Warrants upon issuance using the Black-Scholes valuation model and is required to revalue the 2022 Warrants at each reporting date, with any changes in fair value recorded in the statements of operations and comprehensive income (loss). The valuation of the 2022 Warrants is classified as Level 3 of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hierarchy due to the need to use assumptions in the valuation that are both significant to the fair value measurement and unobservable, including the stock price volatility and the expected life of the 2022 Warrants. Generally, increases (decreases) in the fair value of the underlying stock and estimated term would result in a directionally similar impact to the fair value measurement.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2022 Warrants was determined using the following inputs to the Black-Scholes simulation valuation: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Estimated fair value of the underlying stock. The Company estimates the fair value of the common stock based on the closing stock price at the end of each reporting period.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Risk-free interest rate. The risk-free interest rate is based on the U.S. Treasury at the valuation date commensurate with the expected remaining life assumption.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Dividend rate. The dividend rate is based on the historical rate, which the Company anticipates will remain at zero.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Expected life. The expected life of the 2022 Warrants is assumed to be equivalent to their remaining contractual term which expires on April 11, 2027.</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Volatility. The Company estimates stock price volatility based on the Company’s historical volatility for a period of time commensurate with the expected remaining life of the 2022 Warrants.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Black-Scholes pricing model assumptions used to record the fair value of the 2022 Warrants liability is as follows:</w:t>
      </w:r>
    </w:p>
    <w:tbl>
      <w:tblPr>
        <w:tblW w:w="5429" w:type="dxa"/>
        <w:jc w:val="left"/>
        <w:tblInd w:w="0" w:type="dxa"/>
        <w:tblLayout w:type="fixed"/>
        <w:tblCellMar>
          <w:top w:w="28" w:type="dxa"/>
          <w:left w:w="28" w:type="dxa"/>
          <w:bottom w:w="28" w:type="dxa"/>
          <w:right w:w="28" w:type="dxa"/>
        </w:tblCellMar>
      </w:tblPr>
      <w:tblGrid>
        <w:gridCol w:w="723"/>
        <w:gridCol w:w="634"/>
        <w:gridCol w:w="638"/>
        <w:gridCol w:w="345"/>
        <w:gridCol w:w="282"/>
        <w:gridCol w:w="711"/>
        <w:gridCol w:w="109"/>
        <w:gridCol w:w="109"/>
        <w:gridCol w:w="109"/>
        <w:gridCol w:w="360"/>
        <w:gridCol w:w="360"/>
        <w:gridCol w:w="1049"/>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a roll-forward of fair value for the Company’s Level 3 warrant liabilities (see Note 10, “Equity” to these unaudited consolidated financial statements) for the six months ended June 30, 2026 (in thousands):</w:t>
      </w:r>
    </w:p>
    <w:tbl>
      <w:tblPr>
        <w:tblW w:w="4589" w:type="dxa"/>
        <w:jc w:val="left"/>
        <w:tblInd w:w="0" w:type="dxa"/>
        <w:tblLayout w:type="fixed"/>
        <w:tblCellMar>
          <w:top w:w="28" w:type="dxa"/>
          <w:left w:w="28" w:type="dxa"/>
          <w:bottom w:w="28" w:type="dxa"/>
          <w:right w:w="28" w:type="dxa"/>
        </w:tblCellMar>
      </w:tblPr>
      <w:tblGrid>
        <w:gridCol w:w="1075"/>
        <w:gridCol w:w="944"/>
        <w:gridCol w:w="950"/>
        <w:gridCol w:w="410"/>
        <w:gridCol w:w="908"/>
        <w:gridCol w:w="302"/>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 liability</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Embedded Derivative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evaluated the Loan Agreement (as defined below) for embedded features that require separate accounting as derivatives. The Company identified the Conversion Option (as defined below) and certain default, acceleration, indemnification and contingent payment features as embedded derivatives that require bifurcation, collectively referred to as the Compound Derivative. Other features, including prepayment rights, the variable interest rate with a floor, rights to invest in a future qualified financing and beneficial ownership limits, did not require bifurcation because they were either not applicable, clearly and closely related to the debt host, or qualified for a scope exception.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assessed the fair value of the Compound Derivative based on the probability, timing and magnitude of potential cash flows associated with each bifurcated feature. Based on the contingent nature of the triggering events, the absence of known triggering events as of the Closing Date (as defined below) and June 30, 2026, and the Company’s compliance with the terms of the Loan Agreement, the Company determined that the fair value of the Compound Derivative liability was primarily attributable to the Conversion Option. The fair value of the remaining bifurcated features was not material as of the Closing Date or June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Conversion Option using a Black-Scholes model. The valuation is classified as Level 3 in the fair value hierarchy because it uses significant unobservable inputs, including the Company’s stock price, expected term and volatility. Variations in the inputs included below may result in materially different fair value measurements depending on the conditions or assumptions applied. Increases or decreases in the underlying stock price, expected term and expected volatility generally result in corresponding changes in the estimated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Conversion Option was determined using the following inputs to the Black-Scholes model: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Estimated fair value of the underlying common stock. The Company estimates the fair value of the common stock based on the closing stock price as of the applicable valuation date.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Strike price. The Company uses the most favorable conversion price associated with the Conversion Option.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Risk-free interest rate. The risk-free interest rate is based on the U.S. Treasury at the valuation date commensurate with the expected remaining life assumption.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Dividend rate. The dividend rate is based on the historical rate, which the Company anticipates will remain at zero.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Expected life. The Company estimated an expected life of the Conversion Option which primarily considers the contractual remaining life of the Term Loan Facility, but also considers stock price trends and if the Conversion Option is in or out of the money.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Expected Volatility. The Company estimates stock price volatility based on the Company’s historical volatility for a period of time commensurate with the expected remaining life of the Conversion Option.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inputs to the Black-Scholes models that were used to value the Conversion Option as of the Closing Date and June 30, 2026:</w:t>
      </w:r>
    </w:p>
    <w:tbl>
      <w:tblPr>
        <w:tblW w:w="4900" w:type="dxa"/>
        <w:jc w:val="left"/>
        <w:tblInd w:w="0" w:type="dxa"/>
        <w:tblLayout w:type="fixed"/>
        <w:tblCellMar>
          <w:top w:w="28" w:type="dxa"/>
          <w:left w:w="28" w:type="dxa"/>
          <w:bottom w:w="28" w:type="dxa"/>
          <w:right w:w="28" w:type="dxa"/>
        </w:tblCellMar>
      </w:tblPr>
      <w:tblGrid>
        <w:gridCol w:w="722"/>
        <w:gridCol w:w="632"/>
        <w:gridCol w:w="640"/>
        <w:gridCol w:w="455"/>
        <w:gridCol w:w="235"/>
        <w:gridCol w:w="585"/>
        <w:gridCol w:w="109"/>
        <w:gridCol w:w="109"/>
        <w:gridCol w:w="109"/>
        <w:gridCol w:w="433"/>
        <w:gridCol w:w="223"/>
        <w:gridCol w:w="648"/>
      </w:tblGrid>
      <w:tr>
        <w:trPr/>
        <w:tc>
          <w:tcPr>
            <w:tcW w:w="7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22, 2026</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Strike price</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8.2526</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Compound Derivative is not designated as a hedging instrument and is accounted for separately from the host debt instrument. The Compound Derivative is remeasured at each reporting date, with changes in fair value recognized in the consolidated statements of operations and comprehensive income (loss). The fair value of the Compound Derivative is included within “Long-term debt” in the consolidated balance sheet as of June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Loan Agreement and as a result of the Compound Derivative, the Company recognized a debt discount and a corresponding derivative liability for the Compound Derivative, based on an initial estimated fair value of approximately $7.4 million. The discount will be amortized to interest expense over the term of the Loan Agreement using the effective interest method.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a roll-forward of fair value for the Company’s Level 3 Compound Derivative for the six months ended June 30, 2026 (in thousands):</w:t>
      </w:r>
    </w:p>
    <w:tbl>
      <w:tblPr>
        <w:tblW w:w="5295" w:type="dxa"/>
        <w:jc w:val="left"/>
        <w:tblInd w:w="0" w:type="dxa"/>
        <w:tblLayout w:type="fixed"/>
        <w:tblCellMar>
          <w:top w:w="28" w:type="dxa"/>
          <w:left w:w="28" w:type="dxa"/>
          <w:bottom w:w="28" w:type="dxa"/>
          <w:right w:w="28" w:type="dxa"/>
        </w:tblCellMar>
      </w:tblPr>
      <w:tblGrid>
        <w:gridCol w:w="1184"/>
        <w:gridCol w:w="1040"/>
        <w:gridCol w:w="1046"/>
        <w:gridCol w:w="393"/>
        <w:gridCol w:w="1345"/>
        <w:gridCol w:w="287"/>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Compound Derivative</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recognition on the Closing Date</w:t>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Contingent Value Rights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Company entered into a contingent value rights agreement, or the CVR Agreement, pursuant to which each holder of common stock or a 2022 Warrant in December 2023 was distributed a CVR by the Company. Each CVR entitles its holder to distributions of milestone and royalty payments under the Sobi License, net of deductions. See Note 6, “Fair Value Measurements” to the consolidated financial statements included in the Company’s Annual Report on Form 10-K for the year ended December 31, 2025 for further discussion of the terms related to the CVR Agreement.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CVRs represent financial instruments that are accounted for under the fair value option election in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xml:space="preserve">. Under the fair value option election, the CVRs are initially measured at the aggregate estimated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CVRs and will be subsequently remeasured at estimated fair value on a recurring basis at each reporting period date. The estimated fair value of the CVR liability was determined using a Monte Carlo simulation model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and expected volatility of future revenues, which represent a Level 3 measurement within the fair value hierarchy. The significant inputs used to estimate the fair value of the CVR liability, which represented a financial instrument being accounted for under the fair value option, were as follows:</w:t>
      </w:r>
    </w:p>
    <w:tbl>
      <w:tblPr>
        <w:tblW w:w="6700" w:type="dxa"/>
        <w:jc w:val="left"/>
        <w:tblInd w:w="0" w:type="dxa"/>
        <w:tblLayout w:type="fixed"/>
        <w:tblCellMar>
          <w:top w:w="28" w:type="dxa"/>
          <w:left w:w="28" w:type="dxa"/>
          <w:bottom w:w="28" w:type="dxa"/>
          <w:right w:w="28" w:type="dxa"/>
        </w:tblCellMar>
      </w:tblPr>
      <w:tblGrid>
        <w:gridCol w:w="1156"/>
        <w:gridCol w:w="1015"/>
        <w:gridCol w:w="1023"/>
        <w:gridCol w:w="312"/>
        <w:gridCol w:w="312"/>
        <w:gridCol w:w="786"/>
        <w:gridCol w:w="109"/>
        <w:gridCol w:w="109"/>
        <w:gridCol w:w="109"/>
        <w:gridCol w:w="360"/>
        <w:gridCol w:w="360"/>
        <w:gridCol w:w="1049"/>
      </w:tblGrid>
      <w:tr>
        <w:trPr/>
        <w:tc>
          <w:tcPr>
            <w:tcW w:w="11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cash flow dates</w:t>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2027 - 2038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2026 - 2037</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probability of success</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95.0% - 100.0%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95.0% - 100.0%</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future revenues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a roll-forward of fair value for the Company’s Level 3 CVR liability for the six months ended June 30, 2026 (in thousands):</w:t>
      </w:r>
    </w:p>
    <w:tbl>
      <w:tblPr>
        <w:tblW w:w="4243" w:type="dxa"/>
        <w:jc w:val="left"/>
        <w:tblInd w:w="0" w:type="dxa"/>
        <w:tblLayout w:type="fixed"/>
        <w:tblCellMar>
          <w:top w:w="28" w:type="dxa"/>
          <w:left w:w="28" w:type="dxa"/>
          <w:bottom w:w="28" w:type="dxa"/>
          <w:right w:w="28" w:type="dxa"/>
        </w:tblCellMar>
      </w:tblPr>
      <w:tblGrid>
        <w:gridCol w:w="1075"/>
        <w:gridCol w:w="944"/>
        <w:gridCol w:w="950"/>
        <w:gridCol w:w="226"/>
        <w:gridCol w:w="884"/>
        <w:gridCol w:w="164"/>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CVR liability</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356,700 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Assets and Liabilities Not Recorded at Fair Value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Term Loan Facility (as defined below) is carried at amortized cost. The fair value of the Term Loan Facility, including the Compound Derivative, was estimated to be $54.2 million as of June 30, 2026. The fair value was determined using a combination of a discounted cash flow analysis for the Term Loan Facility’s’ contractual payments, combined with the fair value of the Compound Derivative, See Note 9 “Debt” to these unaudited consolidated financial statements for more information. The Company classifies the fair value of the Term Loan Facility within Level 3 of the fair value hierarchy because the fair value is derived using significant unobservable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6. Property and Equipment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thousands):</w:t>
      </w:r>
    </w:p>
    <w:tbl>
      <w:tblPr>
        <w:tblW w:w="6280" w:type="dxa"/>
        <w:jc w:val="left"/>
        <w:tblInd w:w="0" w:type="dxa"/>
        <w:tblLayout w:type="fixed"/>
        <w:tblCellMar>
          <w:top w:w="28" w:type="dxa"/>
          <w:left w:w="28" w:type="dxa"/>
          <w:bottom w:w="28" w:type="dxa"/>
          <w:right w:w="28" w:type="dxa"/>
        </w:tblCellMar>
      </w:tblPr>
      <w:tblGrid>
        <w:gridCol w:w="1054"/>
        <w:gridCol w:w="926"/>
        <w:gridCol w:w="929"/>
        <w:gridCol w:w="258"/>
        <w:gridCol w:w="883"/>
        <w:gridCol w:w="133"/>
        <w:gridCol w:w="109"/>
        <w:gridCol w:w="109"/>
        <w:gridCol w:w="109"/>
        <w:gridCol w:w="344"/>
        <w:gridCol w:w="1175"/>
        <w:gridCol w:w="251"/>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$0.8 million and $0.6 million for the three months ended June 30, 2026 and 2025, respectively, and $1.4 million and $1.2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7. Accrued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 (in thousands):</w:t>
      </w:r>
    </w:p>
    <w:tbl>
      <w:tblPr>
        <w:tblW w:w="7150" w:type="dxa"/>
        <w:jc w:val="left"/>
        <w:tblInd w:w="0" w:type="dxa"/>
        <w:tblLayout w:type="fixed"/>
        <w:tblCellMar>
          <w:top w:w="28" w:type="dxa"/>
          <w:left w:w="28" w:type="dxa"/>
          <w:bottom w:w="28" w:type="dxa"/>
          <w:right w:w="28" w:type="dxa"/>
        </w:tblCellMar>
      </w:tblPr>
      <w:tblGrid>
        <w:gridCol w:w="1370"/>
        <w:gridCol w:w="1201"/>
        <w:gridCol w:w="1209"/>
        <w:gridCol w:w="258"/>
        <w:gridCol w:w="883"/>
        <w:gridCol w:w="133"/>
        <w:gridCol w:w="109"/>
        <w:gridCol w:w="109"/>
        <w:gridCol w:w="109"/>
        <w:gridCol w:w="380"/>
        <w:gridCol w:w="1110"/>
        <w:gridCol w:w="279"/>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employee related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licensing</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patent fees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and consulting services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equity offering costs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operating leases for manufacturing, laboratory and office space located in Maryland and Massachusetts. In Frederick, Maryland, the Company occupies over 35,000 total square feet of integrated space under a lease agreement, or the Frederick Lease Agreement, and subsequent amendments entered into between February 2024 and June 2025, or the Amended Frederick Lease Agreement. The Amended Fredrick Lease Agreement is set to expire in 2031, carries an aggregate annual base rent of approximately $1.4 million and is subject to annual increases in accordance with the terms of the Amended Frederick Lease Agreement. See Note 9, “Leases” to the consolidated financial statements included in the Company’s Annual Report on Form 10-K for the year ended December 31, 2025 for further discussion of the Company’s leases.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components of lease costs were as follows (in thousands):</w:t>
      </w:r>
    </w:p>
    <w:tbl>
      <w:tblPr>
        <w:tblW w:w="7326" w:type="dxa"/>
        <w:jc w:val="left"/>
        <w:tblInd w:w="0" w:type="dxa"/>
        <w:tblLayout w:type="fixed"/>
        <w:tblCellMar>
          <w:top w:w="28" w:type="dxa"/>
          <w:left w:w="28" w:type="dxa"/>
          <w:bottom w:w="28" w:type="dxa"/>
          <w:right w:w="28" w:type="dxa"/>
        </w:tblCellMar>
      </w:tblPr>
      <w:tblGrid>
        <w:gridCol w:w="706"/>
        <w:gridCol w:w="620"/>
        <w:gridCol w:w="624"/>
        <w:gridCol w:w="270"/>
        <w:gridCol w:w="597"/>
        <w:gridCol w:w="139"/>
        <w:gridCol w:w="139"/>
        <w:gridCol w:w="139"/>
        <w:gridCol w:w="139"/>
        <w:gridCol w:w="270"/>
        <w:gridCol w:w="789"/>
        <w:gridCol w:w="139"/>
        <w:gridCol w:w="109"/>
        <w:gridCol w:w="109"/>
        <w:gridCol w:w="109"/>
        <w:gridCol w:w="228"/>
        <w:gridCol w:w="667"/>
        <w:gridCol w:w="118"/>
        <w:gridCol w:w="118"/>
        <w:gridCol w:w="118"/>
        <w:gridCol w:w="118"/>
        <w:gridCol w:w="228"/>
        <w:gridCol w:w="667"/>
        <w:gridCol w:w="166"/>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Sublease income</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maturity of the Company’s operating lease liabilities as of June 30, 2026 were as follows (in thousands):</w:t>
      </w:r>
    </w:p>
    <w:tbl>
      <w:tblPr>
        <w:tblW w:w="4716" w:type="dxa"/>
        <w:jc w:val="left"/>
        <w:tblInd w:w="0" w:type="dxa"/>
        <w:tblLayout w:type="fixed"/>
        <w:tblCellMar>
          <w:top w:w="28" w:type="dxa"/>
          <w:left w:w="28" w:type="dxa"/>
          <w:bottom w:w="28" w:type="dxa"/>
          <w:right w:w="28" w:type="dxa"/>
        </w:tblCellMar>
      </w:tblPr>
      <w:tblGrid>
        <w:gridCol w:w="1153"/>
        <w:gridCol w:w="1010"/>
        <w:gridCol w:w="1016"/>
        <w:gridCol w:w="258"/>
        <w:gridCol w:w="883"/>
        <w:gridCol w:w="133"/>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operating leases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tbl>
      <w:tblPr>
        <w:tblW w:w="9177" w:type="dxa"/>
        <w:jc w:val="left"/>
        <w:tblInd w:w="0" w:type="dxa"/>
        <w:tblLayout w:type="fixed"/>
        <w:tblCellMar>
          <w:top w:w="28" w:type="dxa"/>
          <w:left w:w="28" w:type="dxa"/>
          <w:bottom w:w="28" w:type="dxa"/>
          <w:right w:w="28" w:type="dxa"/>
        </w:tblCellMar>
      </w:tblPr>
      <w:tblGrid>
        <w:gridCol w:w="2540"/>
        <w:gridCol w:w="2227"/>
        <w:gridCol w:w="2238"/>
        <w:gridCol w:w="262"/>
        <w:gridCol w:w="204"/>
        <w:gridCol w:w="430"/>
        <w:gridCol w:w="109"/>
        <w:gridCol w:w="109"/>
        <w:gridCol w:w="109"/>
        <w:gridCol w:w="267"/>
        <w:gridCol w:w="199"/>
        <w:gridCol w:w="483"/>
      </w:tblGrid>
      <w:tr>
        <w:trPr/>
        <w:tc>
          <w:tcPr>
            <w:tcW w:w="2540"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 (in thousands)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w:t>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years</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Company’s right-of-use assets and lease liabilities for the six months ended June 30, 2026 and 2025 are reflected in the non-cash lease expense and accrued expenses and other liabilities, respectively, in the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Loan and Security Agreement with K2 HealthVentures LLC</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22, 2026, or the Closing Date, the Company entered into a Loan and Security Agreement, or the Loan Agreement, with K2 HealthVentures LLC, or K2HV, as administrative agent, certain financial institutions party thereto as lenders (including K2HV) and Ankura Trust Company, LLC, as collateral trustee. The Loan Agreement provides for a senior secured term loan facility with aggregate commitments of up to $150.0 million available in four tranches, or the Term Loan Facility, comprised of: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first tranche term loan in an aggregate principal amount of $50.0 million, funded on the Closing Date, or the First Tranche;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second tranche term loan in an aggregate principal amount of $25.0 million, available to be drawn between January 1, 2027 and December 1, 2027 subject to the Company’s achievement of specified clinical and financing milestones on or prior to December 1, 2027, or the Second Tranche;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third tranche term loan in an aggregate principal amount of $25.0 million, available to be drawn between January 1, 2028 and June 1, 2028 subject to the Company’s achievement of specified approval and sales milestones on or prior to June 1, 2028, or the Third Tranche;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fourth tranche term loan in an aggregate principal amount of up to $50.0 million, available in the lenders’ sole discretion.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bears interest at a variable annual rate equal to the greater of (i) 8.95% and (ii) the prime rate as quoted in The Wall Street Journal plus 2.20%, payable monthly in arrears on the first calendar day of each month. The Term Loan Facility matures on June 1, 2030 and provides for interest-only payments for the first 36 months following the Closing Date, followed by 12 equal monthly payments of principal and interest commencing on the amortization date of July 1, 2029.</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at its option, prepay all, but not less than all, of the outstanding principal balance together with accrued and unpaid interest and all amounts then due under the Loan Agreement, subject to a prepayment premium and an end of term fee. In addition, prior to repayment in full of the Term Loan Facility, the lenders may jointly elect to convert up to $15.0 million of the outstanding principal into shares of the Company’s common stock, and/or certain other securities issued in a qualifying financing, or the Conversion Shares, subject to a $5.0 million conversion limit prior to the first anniversary of the Closing Date, at a conversion price equal to, at the lenders’ election, either (i) if the relevant Conversion Shares are common stock, $8.2526 per share of common stock or (ii) if the relevant Conversion Shares are shares of common stock or other securities issued in a qualifying financing, the lowest effective price per share or other security in the Company’s next qualified financing; provided, that to the extent such securities issued in a qualifying financing are convertible securities, the conversion price shall equal $1.00 for each $1.00 of notional principal represented by such convertible securities, or the Conversion Option. No prepayment premium applies to principal amounts converted into equity. The Loan Agreement also provides the lenders with certain registration rights, a right to participate in future qualified financings of the Company up to an aggregate of $5.0 million, and customary conversion mechanics and beneficial ownership limitations. As of June 30, 2026, no portion of the outstanding principal had been converted into equity.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April 1, 2027, the Loan Agreement requires the Company to maintain a minimum unrestricted cash balance at all times when the Company’s market capitalization is less than $750.0 million of at least 80% of the Company’s outstanding obligations to the lenders, subject to reduction to 50% upon achievement of the Second Tranche Milestone, as defined in the Loan Agreement, and will revert to 80% if the Third Tranche Milestone, as defined in the Loan Agreement, is not achieved by the applicable date. Beginning on January 1, 2029, the Loan Agreement requires the Company to maintain compliance with a minimum trailing three-month net product revenue covenant of $40.0 million, tested as of the last day of each calendar quarter, with required quarter-over-quarter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Loan Agreement are secured by a first priority security interest in substantially all of the Company’s assets, excluding intellectual property, which is subject to a negative pledge. The Loan Agreement contains customary affirmative and negative covenants, including restrictions on additional indebtedness, liens, dividends, investments, asset sales, repurchase of equity, certain affiliate transactions, changes of control, mergers or acquisitions, as well as customary events of default. The Loan Agreement contemplates that the Company’s existing and future material domestic subsidiaries will be required to become co-borrowers or guarantors and to grant a security interest in their assets to secure the obligations under the Loan Agreement. As of June 30, 2026, the Company was in compliance with all covenants under the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initial borrowing, the Company recognized a $7.4 million debt discount associated with the Compound Derivative, incurred approximately $2.8 million of debt issuance costs and an approximately $1.2 million original issue discount. The amortized cost of the Compound Derivative is included within “Long-term debt” in the consolidated balance sheet as of June 30, 2026. The debt issuance costs and original issue discount were allocated among the funded and contingent borrowing tranches, of which approximately $1.4 million and $0.6 million were allocated to the First Tranche, respectively, and the amortized cost is included within “Long-term debt” in the consolidated balance sheet as of June 30, 2026. The remaining $1.4 million and $0.6 million were allocated to Second Tranche and Third Tranche, respectively, and are deferred within “Long-term prepaid expenses and other assets” in the consolidated balance sheet as of June 30, 2026, and until the related tranche is funded. Deferred debt issuance costs and original issue discount are amortized to interest expense over the term of the Loan Agreement using the straight-line method.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also required to pay a final payment fee equal to 6.95% of funded principal, or approximately $3.5 million based on the amount funded as of June 30, 2026, which is accreted to interest expense over the term of the Loan Agreement using the effective interest method.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debt consisted of the following (in thousands):</w:t>
      </w:r>
    </w:p>
    <w:tbl>
      <w:tblPr>
        <w:tblW w:w="5535" w:type="dxa"/>
        <w:jc w:val="left"/>
        <w:tblInd w:w="0" w:type="dxa"/>
        <w:tblLayout w:type="fixed"/>
        <w:tblCellMar>
          <w:top w:w="28" w:type="dxa"/>
          <w:left w:w="28" w:type="dxa"/>
          <w:bottom w:w="28" w:type="dxa"/>
          <w:right w:w="28" w:type="dxa"/>
        </w:tblCellMar>
      </w:tblPr>
      <w:tblGrid>
        <w:gridCol w:w="1527"/>
        <w:gridCol w:w="1340"/>
        <w:gridCol w:w="1348"/>
        <w:gridCol w:w="256"/>
        <w:gridCol w:w="877"/>
        <w:gridCol w:w="187"/>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 principal</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Compound Derivative measured at fair value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accreted final payment fee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Compound Derivative discount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original issue discount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interest expense (in thousands):</w:t>
      </w:r>
    </w:p>
    <w:tbl>
      <w:tblPr>
        <w:tblW w:w="7829" w:type="dxa"/>
        <w:jc w:val="left"/>
        <w:tblInd w:w="0" w:type="dxa"/>
        <w:tblLayout w:type="fixed"/>
        <w:tblCellMar>
          <w:top w:w="28" w:type="dxa"/>
          <w:left w:w="28" w:type="dxa"/>
          <w:bottom w:w="28" w:type="dxa"/>
          <w:right w:w="28" w:type="dxa"/>
        </w:tblCellMar>
      </w:tblPr>
      <w:tblGrid>
        <w:gridCol w:w="1454"/>
        <w:gridCol w:w="1279"/>
        <w:gridCol w:w="1286"/>
        <w:gridCol w:w="967"/>
        <w:gridCol w:w="2137"/>
        <w:gridCol w:w="706"/>
      </w:tblGrid>
      <w:tr>
        <w:trPr/>
        <w:tc>
          <w:tcPr>
            <w:tcW w:w="14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Six Months Ended June 30, 2026</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Compound Derivative discount</w:t>
            </w:r>
          </w:p>
        </w:tc>
        <w:tc>
          <w:tcPr>
            <w:tcW w:w="3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original issue discount</w:t>
            </w:r>
          </w:p>
        </w:tc>
        <w:tc>
          <w:tcPr>
            <w:tcW w:w="3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final payment fee</w:t>
            </w:r>
          </w:p>
        </w:tc>
        <w:tc>
          <w:tcPr>
            <w:tcW w:w="3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3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original issue discount</w:t>
            </w:r>
          </w:p>
        </w:tc>
        <w:tc>
          <w:tcPr>
            <w:tcW w:w="3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effective interest rate for the Term Loan Facility was approximately 17.7%.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principal payments, excluding contractual interest but including the final payment fee of approximately $3.5 million, in connection with the Loan Agreement as of June 30, 2026 are as follows (in thousands):</w:t>
      </w:r>
    </w:p>
    <w:tbl>
      <w:tblPr>
        <w:tblW w:w="5774" w:type="dxa"/>
        <w:jc w:val="left"/>
        <w:tblInd w:w="0" w:type="dxa"/>
        <w:tblLayout w:type="fixed"/>
        <w:tblCellMar>
          <w:top w:w="28" w:type="dxa"/>
          <w:left w:w="28" w:type="dxa"/>
          <w:bottom w:w="28" w:type="dxa"/>
          <w:right w:w="28" w:type="dxa"/>
        </w:tblCellMar>
      </w:tblPr>
      <w:tblGrid>
        <w:gridCol w:w="1615"/>
        <w:gridCol w:w="1415"/>
        <w:gridCol w:w="1424"/>
        <w:gridCol w:w="256"/>
        <w:gridCol w:w="877"/>
        <w:gridCol w:w="187"/>
      </w:tblGrid>
      <w:tr>
        <w:trPr/>
        <w:tc>
          <w:tcPr>
            <w:tcW w:w="16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payments including final payment fee</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10. Equity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Equity Financings</w:t>
      </w:r>
    </w:p>
    <w:p>
      <w:pPr>
        <w:pStyle w:val="TextBody"/>
        <w:bidi w:val="0"/>
        <w:spacing w:lineRule="auto" w:line="288" w:before="0" w:after="180"/>
        <w:ind w:left="0" w:right="0" w:firstLine="360"/>
        <w:jc w:val="both"/>
        <w:rPr>
          <w:color w:val="000000"/>
        </w:rPr>
      </w:pPr>
      <w:r>
        <w:rPr>
          <w:color w:val="000000"/>
        </w:rPr>
        <w:t>“</w:t>
      </w:r>
      <w:r>
        <w:rPr>
          <w:rFonts w:ascii="Times New Roman;serif" w:hAnsi="Times New Roman;serif"/>
          <w:b w:val="false"/>
          <w:i/>
          <w:color w:val="000000"/>
          <w:sz w:val="20"/>
        </w:rPr>
        <w:t>At the Market” Sales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13, 2024, the Company entered into a Sales Agreement, or the Sales Agreement, with Leerink Partners LLC to sell shares of the Company’s common stock, from time to time, through an “at the market” equity offering program under which Leerink Partners LLC will act as sales agent. The shares of common stock sold pursuant to the Sales Agreement will be issued pursuant to the Company’s shelf registration statement on Form S-3 (File No. 333-283803), filed on December 13, 2024 with the SEC and related prospectus supplement, filed on January 8, 2025 with the SEC, for aggregate gross sales proceeds of up to $100.0 million.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sold 2,813,736 shares of its common stock pursuant to the Sales Agreement for net proceeds of approximately $19.3 million after commissions and expenses. As of June 30, 2026, approximately $78.9 million remains available under the at the market program. There were no shares sold pursuant to the Sales Agreement during the six months ended June 30,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warrants issued, exercised, or cancelled. The following is a summary of the Company’s warrants as of June 30, 2026:</w:t>
      </w:r>
    </w:p>
    <w:tbl>
      <w:tblPr>
        <w:tblW w:w="8920" w:type="dxa"/>
        <w:jc w:val="left"/>
        <w:tblInd w:w="0" w:type="dxa"/>
        <w:tblLayout w:type="fixed"/>
        <w:tblCellMar>
          <w:top w:w="28" w:type="dxa"/>
          <w:left w:w="28" w:type="dxa"/>
          <w:bottom w:w="28" w:type="dxa"/>
          <w:right w:w="28" w:type="dxa"/>
        </w:tblCellMar>
      </w:tblPr>
      <w:tblGrid>
        <w:gridCol w:w="908"/>
        <w:gridCol w:w="796"/>
        <w:gridCol w:w="801"/>
        <w:gridCol w:w="310"/>
        <w:gridCol w:w="310"/>
        <w:gridCol w:w="311"/>
        <w:gridCol w:w="125"/>
        <w:gridCol w:w="125"/>
        <w:gridCol w:w="125"/>
        <w:gridCol w:w="559"/>
        <w:gridCol w:w="559"/>
        <w:gridCol w:w="561"/>
        <w:gridCol w:w="125"/>
        <w:gridCol w:w="125"/>
        <w:gridCol w:w="125"/>
        <w:gridCol w:w="413"/>
        <w:gridCol w:w="413"/>
        <w:gridCol w:w="191"/>
        <w:gridCol w:w="109"/>
        <w:gridCol w:w="109"/>
        <w:gridCol w:w="109"/>
        <w:gridCol w:w="368"/>
        <w:gridCol w:w="1074"/>
        <w:gridCol w:w="2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w:t>
              <w:br/>
              <w:t> classified</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Liability classified</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 price</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685,712 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692,272 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“Equity” to the consolidated financial statements included in the Company’s Annual Report on Form 10-K for the year ended December 31, 2025 for further discussion of the terms related to the Company’s warrants.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98,050 shares of Series A Preferred Stock and 437,927 shares of Series B Preferred Stock issued and outstanding, respectively, which together are convertible into an aggregate of 3,706,272 shares of common stock.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22,740 shares of Series A Preferred Stock were converted into 758,001 shares of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Reserved Shares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reserved shares of common stock for future issuance as of June 30, 2026 as follows:</w:t>
      </w:r>
    </w:p>
    <w:tbl>
      <w:tblPr>
        <w:tblW w:w="6597" w:type="dxa"/>
        <w:jc w:val="left"/>
        <w:tblInd w:w="0" w:type="dxa"/>
        <w:tblLayout w:type="fixed"/>
        <w:tblCellMar>
          <w:top w:w="28" w:type="dxa"/>
          <w:left w:w="28" w:type="dxa"/>
          <w:bottom w:w="28" w:type="dxa"/>
          <w:right w:w="28" w:type="dxa"/>
        </w:tblCellMar>
      </w:tblPr>
      <w:tblGrid>
        <w:gridCol w:w="1801"/>
        <w:gridCol w:w="1578"/>
        <w:gridCol w:w="1586"/>
        <w:gridCol w:w="540"/>
        <w:gridCol w:w="541"/>
        <w:gridCol w:w="551"/>
      </w:tblGrid>
      <w:tr>
        <w:trPr/>
        <w:tc>
          <w:tcPr>
            <w:tcW w:w="180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692,272 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stock incentive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4,457,032 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reserved for issuance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648,078 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common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3,362,644 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3,268,345 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437,927 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Option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605,869 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issuance under the at the market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36,600 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13,518,767 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11. Stock Incentive Plans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2016, the Company’s stockholders approved the 2016 Incentive Award Plan, or the 2016 Plan, which initially authorized 40,341 shares of common stock for future issuance under the 2016 Plan.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The Board of Directors established a Stock Option Committee which is authorized to grant awards to certain employees and consultants subject to conditions and limitations within the 2016 Plan. In January 2026, the number of shares of common stock that may be issued under the 2016 Plan was increased by 1,040,444. As of June 30, 2026, 3,410,201 shares remain available for future issuance under the 2016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2018, the Company’s 2018 Employment Inducement Incentive Award Plan, or the 2018 Inducement Incentive Award Plan, was adopted by the Board of Directors without stockholder approval pursuant to Rule 5635(c)(4) of the Nasdaq Stock Market LLC listing rules, which initially authorized 39,166 shares of its common stock for issuance. In June 2026, the Board of Directors approved an amendment and restatement of the 2018 Inducement Incentive Award Plan to reserve an additional 750,000 shares of the Company’s common stock for issuance thereunder. As of June 30, 2026, there were 942,751 shares available for future grant under the 2018 Inducement Incentive Award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2023, the Company assumed the 2016 Stock Incentive Plan, or the Old Cartesian Plan, of the then private company that merged with the Company in November 2023, or Old Cartesian. The Old Cartesian Plan permits the granting of options or restricted stock to employees, officers, directors, consultants and advisors to the Company. The unvested common stock options and Series A Preferred Stock options assumed by the Company generally vest over a four-year period. Additionally, the stock options granted have a contractual term of ten years and only full shares can be exercised as per the individual award agreements. As of June 30, 2026, there were 58,285 shares available for future grant under the Old Cartesian Plan.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outstanding stock options to purchase Old Cartesian common stock were converted into stock options to purchase 776,865 shares of common stock and 14,112.299 shares of Series A Preferred Stock of the Company. The replacement awards that were issued as a part of the assumption of the Old Cartesian Plan resulted in $2.6 million attributed to post-combination service to be recognized as stock-based compensation expense over the remaining terms of the replacement awards, of which less than $0.1 million and $0.2 million was recognized during the three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and $0.1 million and $0.4 million was recognized during the six months ended June 30, 2026 and 2025, respectively, as research and development expense in the consolidated statements of operations and comprehensive income (loss).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by classification included within the consolidated statements of operations and comprehensive income (loss), was as follows (in thousands):</w:t>
      </w:r>
    </w:p>
    <w:tbl>
      <w:tblPr>
        <w:tblW w:w="8827" w:type="dxa"/>
        <w:jc w:val="left"/>
        <w:tblInd w:w="0" w:type="dxa"/>
        <w:tblLayout w:type="fixed"/>
        <w:tblCellMar>
          <w:top w:w="28" w:type="dxa"/>
          <w:left w:w="28" w:type="dxa"/>
          <w:bottom w:w="28" w:type="dxa"/>
          <w:right w:w="28" w:type="dxa"/>
        </w:tblCellMar>
      </w:tblPr>
      <w:tblGrid>
        <w:gridCol w:w="1250"/>
        <w:gridCol w:w="1097"/>
        <w:gridCol w:w="1103"/>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grant date fair values of stock option awards granted under the 2016 Plan and the 2018 Inducement Incentive Award Plan were calculated using the Black-Scholes option pricing model based on the following weighted-average assumptions: </w:t>
      </w:r>
    </w:p>
    <w:tbl>
      <w:tblPr>
        <w:tblW w:w="9517" w:type="dxa"/>
        <w:jc w:val="left"/>
        <w:tblInd w:w="0" w:type="dxa"/>
        <w:tblLayout w:type="fixed"/>
        <w:tblCellMar>
          <w:top w:w="28" w:type="dxa"/>
          <w:left w:w="28" w:type="dxa"/>
          <w:bottom w:w="28" w:type="dxa"/>
          <w:right w:w="28" w:type="dxa"/>
        </w:tblCellMar>
      </w:tblPr>
      <w:tblGrid>
        <w:gridCol w:w="1396"/>
        <w:gridCol w:w="1224"/>
        <w:gridCol w:w="1234"/>
        <w:gridCol w:w="437"/>
        <w:gridCol w:w="189"/>
        <w:gridCol w:w="471"/>
        <w:gridCol w:w="189"/>
        <w:gridCol w:w="189"/>
        <w:gridCol w:w="189"/>
        <w:gridCol w:w="437"/>
        <w:gridCol w:w="189"/>
        <w:gridCol w:w="471"/>
        <w:gridCol w:w="109"/>
        <w:gridCol w:w="109"/>
        <w:gridCol w:w="109"/>
        <w:gridCol w:w="404"/>
        <w:gridCol w:w="170"/>
        <w:gridCol w:w="423"/>
        <w:gridCol w:w="170"/>
        <w:gridCol w:w="170"/>
        <w:gridCol w:w="170"/>
        <w:gridCol w:w="404"/>
        <w:gridCol w:w="170"/>
        <w:gridCol w:w="494"/>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 of common stock</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stock options granted during the three months ended June 30, 2026 and 2025 was $4.80 and $9.32, respectively, and $5.23 and $13.56 during the six months ended June 30, 2026 and 2025,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common stock options was approximately $12.6 million, which is expected to be recognized over a weighted average period of approximately 3.0 years.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 under the 2016 Plan, the 2018 Inducement Incentive Award Plan, and the Old Cartesian Plan for options for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tbl>
      <w:tblPr>
        <w:tblW w:w="10205" w:type="dxa"/>
        <w:jc w:val="left"/>
        <w:tblInd w:w="0" w:type="dxa"/>
        <w:tblLayout w:type="fixed"/>
        <w:tblCellMar>
          <w:top w:w="28" w:type="dxa"/>
          <w:left w:w="28" w:type="dxa"/>
          <w:bottom w:w="28" w:type="dxa"/>
          <w:right w:w="28" w:type="dxa"/>
        </w:tblCellMar>
      </w:tblPr>
      <w:tblGrid>
        <w:gridCol w:w="588"/>
        <w:gridCol w:w="516"/>
        <w:gridCol w:w="519"/>
        <w:gridCol w:w="711"/>
        <w:gridCol w:w="463"/>
        <w:gridCol w:w="464"/>
        <w:gridCol w:w="109"/>
        <w:gridCol w:w="109"/>
        <w:gridCol w:w="109"/>
        <w:gridCol w:w="440"/>
        <w:gridCol w:w="1287"/>
        <w:gridCol w:w="228"/>
        <w:gridCol w:w="109"/>
        <w:gridCol w:w="109"/>
        <w:gridCol w:w="109"/>
        <w:gridCol w:w="769"/>
        <w:gridCol w:w="769"/>
        <w:gridCol w:w="770"/>
        <w:gridCol w:w="109"/>
        <w:gridCol w:w="109"/>
        <w:gridCol w:w="109"/>
        <w:gridCol w:w="364"/>
        <w:gridCol w:w="1062"/>
        <w:gridCol w:w="274"/>
      </w:tblGrid>
      <w:tr>
        <w:trPr/>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Common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2,463,747 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1,680,200 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 for issuance</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(278,341)</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(492,962)</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3,362,644 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at June 30, 2026</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974,036 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30, 2026</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3,013,426 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420,650 restricted stock unit awards with a weighted-average fair value of $6.76 per share based on the closing price of the Company’s common stock on the date of grant under the 2016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Unrecognized compensation expense related to the restricted stock units was approximately $5.2 million as of June 30, 2026, which is expected to be recognized over a weighted-average period of approximately 2.8 years.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restricted stock units under the 2016 Plan and the Old Cartesian Plan:</w:t>
      </w:r>
    </w:p>
    <w:tbl>
      <w:tblPr>
        <w:tblW w:w="6356" w:type="dxa"/>
        <w:jc w:val="center"/>
        <w:tblInd w:w="0" w:type="dxa"/>
        <w:tblLayout w:type="fixed"/>
        <w:tblCellMar>
          <w:top w:w="28" w:type="dxa"/>
          <w:left w:w="28" w:type="dxa"/>
          <w:bottom w:w="28" w:type="dxa"/>
          <w:right w:w="28" w:type="dxa"/>
        </w:tblCellMar>
      </w:tblPr>
      <w:tblGrid>
        <w:gridCol w:w="977"/>
        <w:gridCol w:w="858"/>
        <w:gridCol w:w="864"/>
        <w:gridCol w:w="539"/>
        <w:gridCol w:w="539"/>
        <w:gridCol w:w="541"/>
        <w:gridCol w:w="109"/>
        <w:gridCol w:w="109"/>
        <w:gridCol w:w="109"/>
        <w:gridCol w:w="368"/>
        <w:gridCol w:w="1074"/>
        <w:gridCol w:w="269"/>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522,498 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420,650 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(169,278)</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(125,792)</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648,078 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12. Revenue Arrangements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Collaboration and license revenue</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Swedish Orphan Biovitrum AB (publ.)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2020, the Company and Sobi entered into the Sobi License, which was subsequently amended in October 2023. Pursuant to the Sobi License, the Company agreed to grant Sobi an exclusive, worldwide (except as to Greater China) license to develop, manufacture and commercialize the Nanoecapsulated Sirolimus plus Pegadricase, or NASP, formerly known as SEL-212, drug candidate, which is currently in development for the treatment of chronic refractory gout. The NASP drug candidate is a pharmaceutical composition containing a combination of a pegylated uricase known as SEL-037, or the Compound, and nanoparticle-encapsulated form of rapamycin, known as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NASP, and tiered royalty payments ranging from the low double digits on the lowest sales tier to the high teens on the highest sales tier. A more detailed description of the Sobi License and the Company’s evaluation of this agreement under ASC 606 can be found in Note 13, “Revenue Arrangements” to the consolidated financial statements in the Company’s Annual Report on Form 10-K for the year ended December 31, 2025. Any proceeds received from milestone payments or royalties relating to the Sobi License would be required to be distributed to holders of CVRs, net of certain deductions.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28, 2024, Sobi initiated a rolling biologics license application to the FDA for NASP for the potential treatment of chronic refractory gout which resulted in the achievement of a development milestone and a $30.0 million payment obligation from Sobi to the Company. As a result, the development milestone was no longer constrained and $30.0 million was recognized as revenue during the year ended December 31, 2024 as there were no remaining performance obligations under the Sobi License. The proceeds from the achievement of the development milestone were received from Sobi in July 2024 and were included, net of deductions as specified in the CVR Agreement, in the distribution to holders of the CVRs in March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Grant revenue</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National Institute of Neurological Disorders and Stroke of the National Institutes of Health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2024, the Company received funding approval from the National Institute of Neurological Disorders and Stroke of the National Institutes of Health, or NINDS, for an award of $1.5 million granted for the budget period, which ran from June 2024 through May 2025. In June 2025, the Company received funding approval from NINDS for an additional award of $1.5 million granted for the budget period that ran from June 2025 through 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ran through May 31, 2026. The Company will recognize grant revenue when expenses reimbursable under the grant have been incurred.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award period has ended, there is no outstanding receivable and there is no further amount subject to reimbursement by NINDS. As of December 31, 2025, the Company recorded a receivable of $0.9 million that is subject to reimbursement by NINDS. The Company recognized no grant revenue and grant revenue of $0.1 million during the three and six months ended June 30, 2026, respectively. The Company recognized grant revenue of $0.2 million and $0.9 million during the three and six months ended June 30, 2025, respectively.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Transaction Price Allocated to Future Performance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Remaining performance obligations represent the transaction price of contracts for which work has not been performed, or has been partially performed. As of June 30, 2026 and December 31, 2025, there were no unsatisfied performance obligations from contracts with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13. Collaboration and License Agreements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WestGene Biopharma Co., Ltd.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8, 2026, the Company entered into a license agreement, or the WestGene Agreement, with WestGene Biopharma Co., Ltd., or WestGene, to support the development of in vivo CAR-T-cell therapies for autoimmune diseases. Under the WestGene Agreement, WestGene granted the Company a non-exclusive, worldwide license, with the right to grant sublicenses, to certain technology and related intellectual property for the research, development, manufacture and commercialization of licensed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WestGene is responsible for performing certain development, manufacturing and related support activities pursuant to an agreed development plan and budget. The Company is responsible for funding such activities and generally controls future development, regulatory, commercialization and sublicensing activities for licensed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consideration for the rights granted under the WestGene Agreement, the Company is obligated to make an upfront payment and to fund specified development activities. The WestGene Agreement also provides for potential development, regulatory and sales-based milestone payments, royalties on net sales of licensed products and certain sublicense revenue-sharing payments, in each case subject to the terms of the WestGene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amounts incurred under the WestGene Agreement based on the nature of the underlying activities. Upfront and development-stage payments that relate to research and development activities are recognized as research and development expense as incurred or as the related services are received. Amounts paid in advance of performance are recorded as prepaid research and development costs to the extent the Company retains a substantive right to future services. Contingent milestone, royalty and sublicense revenue-sharing payments are recognized when the related payment obligations are achieved or otherwise become payable under the WestGene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$0.8 million in research and development expense. No development, regulatory or sales-based milestones had been achieved and the Company has not recognized any royalty expense or sublicense revenue-sharing expense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Biogen MA, Inc.</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National Cancer Institute of the National Institutes of Health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Company must use reasonable commercial efforts to submit a BLA with respect to a licensed product by the fourth quarter of 2026 and make a first commercial sale of a licensed product by the fourth quarter of 2028.</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NCI Agreement terminates upon the expiration of the last to expire of the patent rights licensed thereunder, if not sooner terminated. The NCI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15, 2033. There is also a pending patent application which, if issued, will expire on March 15, 2033, but could also be subject to patent term adjustment and to any potential future terminal disclaimers.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NCI has the right to terminate the NCI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Shenyang Sunshine Pharmaceutical Co., Ltd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2014, the Company entered into a license agreement, or the 3SBio License, with Shenyang Sunshine Pharmaceutical Co., Ltd., or 3SBio. The Company has paid to 3SBio an aggregate of $7.0 million in upfront and milestone-based payments under the 3SBio License as of June 30, 2026.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not recorded any U.S. federal or state income tax benefits for either the net losses the Company has incurred or its earned research and orphan drug credits, due to the uncertainty of realizing a benefit from those items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was not a party to any litigation that could have a material adverse effect on the Company’s business, financial position, results of operations or cash flows.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permitted under Delaware law, the Company indemnifies its officers, directors, consultants and employees for certain events or occurrences that happen by reason of the relationship with, or position held at the Company. Through June 30, 2026,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16. Segment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433"/>
        <w:gridCol w:w="1126"/>
        <w:gridCol w:w="1137"/>
        <w:gridCol w:w="271"/>
        <w:gridCol w:w="926"/>
        <w:gridCol w:w="139"/>
        <w:gridCol w:w="139"/>
        <w:gridCol w:w="139"/>
        <w:gridCol w:w="139"/>
        <w:gridCol w:w="271"/>
        <w:gridCol w:w="926"/>
        <w:gridCol w:w="139"/>
        <w:gridCol w:w="135"/>
        <w:gridCol w:w="135"/>
        <w:gridCol w:w="135"/>
        <w:gridCol w:w="261"/>
        <w:gridCol w:w="942"/>
        <w:gridCol w:w="135"/>
        <w:gridCol w:w="135"/>
        <w:gridCol w:w="135"/>
        <w:gridCol w:w="135"/>
        <w:gridCol w:w="261"/>
        <w:gridCol w:w="812"/>
        <w:gridCol w:w="199"/>
      </w:tblGrid>
      <w:tr>
        <w:trPr/>
        <w:tc>
          <w:tcPr>
            <w:tcW w:w="143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revenue</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Descartes-08 for MG</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Descartes-08 for dermatomyositis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Early stage programs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employee expenses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stock-based compensation expense</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facilities and other expenses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(1)</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interest income; interest expense; (loss) gain on change in fair value of warrant liability; loss on change in fair value of embedded derivative; gain on change in fair value of contingent value rights liability; and other income (expense), net.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the date on which the consolidated financial statements were issued. The Company has concluded that no subsequent events have occurred that require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2025, which we filed with the Securities and Exchange Commission, or the SEC, on March 9, 2026. In addition, you should read the “Risk Factors” and “Information Regarding Forward-Looking Statements” sections of this Quarterly Report and our Annual Report on Form 10-K for the year ended December 31, 2025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late clinical-stage biotechnology company pioneering cell therapy for the treatment of autoimmune diseases. We leverage our proprietary technology and manufacturing platform to introduce mRNA into cells to provide a therapeutic effect to patients suffering from a variety of autoimmune conditions. Unlike DNA, mRNA degrades naturally over time without integrating into the cell’s genetic material. Our cell therapies are designed to be dosed repeatedly like conventional drugs, administered in an outpatient setting, and given without pre-treatment chemotherapy, which is required with many conventional cell therapies.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Financial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date, we have financed our operations primarily through public offerings and private placements of our securities, funding received from research grants, collaboration and license arrangements and credit facilities. We do not have any products approved for sale and have not generated any product sales.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incurred net losses of $23.4 million and $1.8 million for the six months ended June 30, 2026 and 2025, respectively. As of June 30, 2026, we had an accumulated deficit of $845.8 million. We expect to continue to incur significant expenses and operating losses for the foreseeable future as we: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continue to advance Descartes-08 for myasthenia gravis, or MG, through Phase 3 development;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advance Descartes-08 for myositis into Phase 2 development;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continue to develop our preclinical and clinical-stage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seek regulatory approvals for any product candidates that successfully complete clinical trials;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maintain, expand and protect our intellectual property portfolio, including through licensing arrangements;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hire additional staff, including clinical, scientific and management personnel;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incur additional costs associated with continuing to operate as a public company.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cash equivalents, and restricted cash as of June 30, 2026 will enable us to fund our operating expenses and capital expenditure requirements for at least the next 12 months. We have based this estimate on assumptions that may prove to be wrong, and we could use our capital resources sooner than we currently expect.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Collaboration and license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descriptions of the agreements underlying our collaboration and license revenue, see Note 12, “Revenue Arrangements” to our unaudited consolidated financial statements included elsewhere in this Quarterly Report.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Grant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grant revenue, which consists of funding received to perform specific research and development services under grant arrangements.</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of internal and external research and development costs, which primarily include fees paid to contract research organizations, internal manufacturing and quality 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indirect costs are shared across multiple development programs and are not solely dedicated to individual programs.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pStyle w:val="TextBody"/>
        <w:bidi w:val="0"/>
        <w:spacing w:lineRule="auto" w:line="288" w:before="240" w:after="120"/>
        <w:jc w:val="both"/>
        <w:rPr/>
      </w:pPr>
      <w:r>
        <w:rPr>
          <w:rFonts w:ascii="Times New Roman;serif" w:hAnsi="Times New Roman;serif"/>
          <w:b/>
          <w:i/>
          <w:color w:val="000000"/>
          <w:sz w:val="20"/>
        </w:rPr>
        <w:t>Interest income</w:t>
      </w:r>
      <w:r>
        <w:rPr>
          <w:color w:val="000000"/>
        </w:rPr>
        <w:t xml:space="preser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consists primarily of income earned on our cash, cash equivalents and marketable securities.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of contractual interest related to the Loan and Security Agreement, or the Loan Agreement, with K2 HealthVentures LLC, or K2HV, as administrative agent, certain financial institutions party thereto as lenders (including K2HV) and Ankura Trust Company, LLC, as collateral trustee. The Loan Agreement provides for a senior secured term loan facility with aggregate commitments of up to $150.0 million available in four tranches, or the Term Loan Facility, subject to the satisfaction of certain conditions precedent. In addition to contractual interest, interest expense includes amortization of debt issuance costs and debt discounts, accretion of the final payment fee and amortization of deferred debt issuance costs and deferred debt discounts. </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Gain (loss) on change in fair value of warrant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Common warrants classified as liabilities are remeasured quarterly at fair value with the change in fair value recognized as a component of earnings.</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Gain (loss) on change in fair value of embedded derivative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Derivatives classified as liabilities are remeasured quarterly at fair value with the change in fair value recognized as a component of earnings.</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Gain (loss) on change in fair value of contingent value rights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contingent value rights liability is remeasured quarterly at fair value with the change in fair value recognized as a component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non-operating income and non-operating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tbl>
      <w:tblPr>
        <w:tblW w:w="10205" w:type="dxa"/>
        <w:jc w:val="left"/>
        <w:tblInd w:w="0" w:type="dxa"/>
        <w:tblLayout w:type="fixed"/>
        <w:tblCellMar>
          <w:top w:w="28" w:type="dxa"/>
          <w:left w:w="28" w:type="dxa"/>
          <w:bottom w:w="28" w:type="dxa"/>
          <w:right w:w="28" w:type="dxa"/>
        </w:tblCellMar>
      </w:tblPr>
      <w:tblGrid>
        <w:gridCol w:w="1861"/>
        <w:gridCol w:w="1639"/>
        <w:gridCol w:w="1655"/>
        <w:gridCol w:w="229"/>
        <w:gridCol w:w="783"/>
        <w:gridCol w:w="117"/>
        <w:gridCol w:w="117"/>
        <w:gridCol w:w="117"/>
        <w:gridCol w:w="117"/>
        <w:gridCol w:w="229"/>
        <w:gridCol w:w="783"/>
        <w:gridCol w:w="117"/>
        <w:gridCol w:w="109"/>
        <w:gridCol w:w="109"/>
        <w:gridCol w:w="109"/>
        <w:gridCol w:w="220"/>
        <w:gridCol w:w="563"/>
        <w:gridCol w:w="113"/>
        <w:gridCol w:w="113"/>
        <w:gridCol w:w="113"/>
        <w:gridCol w:w="113"/>
        <w:gridCol w:w="268"/>
        <w:gridCol w:w="270"/>
        <w:gridCol w:w="341"/>
      </w:tblGrid>
      <w:tr>
        <w:trPr/>
        <w:tc>
          <w:tcPr>
            <w:tcW w:w="18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revenue</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warrant liabilities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embedded derivative</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contingent value rights liability</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155"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Grant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recognized no grant revenue, compared to $0.3 million for the three months ended June 30, 2025, a decrease of $0.3 million. Grant revenue recognized during the three months ended June 30, 2025 was under the grant from the National Institute of Neurological Disorders and Stroke of the National Institutes of Health, or NINDS.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comparison of research and development expenses for the three months ended June 30, 2026 and 2025 (in thousands, except percentages):</w:t>
      </w:r>
    </w:p>
    <w:tbl>
      <w:tblPr>
        <w:tblW w:w="10198" w:type="dxa"/>
        <w:jc w:val="left"/>
        <w:tblInd w:w="0" w:type="dxa"/>
        <w:tblLayout w:type="fixed"/>
        <w:tblCellMar>
          <w:top w:w="28" w:type="dxa"/>
          <w:left w:w="28" w:type="dxa"/>
          <w:bottom w:w="28" w:type="dxa"/>
          <w:right w:w="28" w:type="dxa"/>
        </w:tblCellMar>
      </w:tblPr>
      <w:tblGrid>
        <w:gridCol w:w="1881"/>
        <w:gridCol w:w="1656"/>
        <w:gridCol w:w="1668"/>
        <w:gridCol w:w="230"/>
        <w:gridCol w:w="785"/>
        <w:gridCol w:w="118"/>
        <w:gridCol w:w="118"/>
        <w:gridCol w:w="118"/>
        <w:gridCol w:w="118"/>
        <w:gridCol w:w="230"/>
        <w:gridCol w:w="785"/>
        <w:gridCol w:w="118"/>
        <w:gridCol w:w="109"/>
        <w:gridCol w:w="109"/>
        <w:gridCol w:w="109"/>
        <w:gridCol w:w="211"/>
        <w:gridCol w:w="617"/>
        <w:gridCol w:w="109"/>
        <w:gridCol w:w="109"/>
        <w:gridCol w:w="109"/>
        <w:gridCol w:w="109"/>
        <w:gridCol w:w="233"/>
        <w:gridCol w:w="233"/>
        <w:gridCol w:w="316"/>
      </w:tblGrid>
      <w:tr>
        <w:trPr/>
        <w:tc>
          <w:tcPr>
            <w:tcW w:w="1881"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Descartes-08 for MG</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Descartes-08 for dermatomyositis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Early stage programs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employee expenses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stock-based compensation expense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facilities and other expenses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8"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research and development expenses were $20.4 million, compared to $14.9 million for the three months ended June 30, 2025, an increase of $5.5 million. The increase was primarily due to an increase in expenses for Descartes-08 for MG, primarily related to the expenses for the ongoing Phase 3 AURORA trial. This increase was partially offset by a decrease in stock-based compensation expense and expenses for early stage programs, primarily related to our decision to no longer pursue development of Descartes-08 in systemic lupus erythematosus, partially offset by new costs associated with the license agreement, or the WestGene Agreement, with WestGene Biopharma Co., Ltd., or WestGene.</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general and administrative expenses were $8.7 million, compared to $7.2 million for the three months ended June 30, 2025, an increase of $1.5 million. The increase was primarily the result of higher professional and consulting fees.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income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June 30, 2026 was $1.1 million, compared to $1.7 million for the three months ended June 30, 2025, a decrease of $0.6 million. The decrease in interest income was due to decreased cash and cash equivalents balance and lower interest rates.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2026 was $0.9 million. Interest expense is related to the Term Loan Facility (as defined below) with K2HV (as defined below) and consists of contractual interest expense as well as the amortization of debt issuance costs, debt discounts, deferred debt issuance costs, deferred debt discounts and the accretion of the final payment fee. There was no interest expense for the three months ended June 30, 2025.</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(Loss) gain on change in fair value of warrant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recognized $0.1 million of expense from the increase in the fair value of warrant liability, compared to $0.7 million of income from the decrease in the fair value of warrant liability for the three months ended June 30, 2025, a change of $0.8 million. The increase in fair value of the warrant liability in the current period was primarily driven by an increase in the per-share price of our common stock, partially offset by a decrease in the remaining expected life of the warrants.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Loss on change in fair value of embedded derivative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recognized $4.5 million of expense associated with the increase in the fair value of the embedded derivative. The increase in the fair value of the embedded derivative was primarily due to the change in our stock price between the Closing Date (as defined below) and June 30, 2026. There was no change in fair value of embedded derivative for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on change in fair value of contingent value rights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we recognized $49.2 million of income from the decrease in the fair value of the contingent value rights, or CVR, liability, compared to $35.3 million of income from the decrease in the fair value of the CVR liability for the three months ended June 30, 2025, a decrease of $13.9 million. The decrease in the fair value of the CVR liability was primarily due to changes in the timing of anticipated payments.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income (expense),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we recognized $0.1 million of other income, net, compared to an immaterial amount of other expense, net for the three months ended June 30, 2025.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income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for three months ended June 30, 2026 was $15.8 million as compared to net income of $15.9 million for the three months ended June 30, 2025, an increase of $0.1 million. The increase in net income was primarily due to a higher gain on the change in the fair value of the CVR liability, partially offset by an increase in research and development expenses, the loss on change in fair value of embedded derivative, and an increase in general and administrative expenses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tbl>
      <w:tblPr>
        <w:tblW w:w="10205" w:type="dxa"/>
        <w:jc w:val="left"/>
        <w:tblInd w:w="0" w:type="dxa"/>
        <w:tblLayout w:type="fixed"/>
        <w:tblCellMar>
          <w:top w:w="28" w:type="dxa"/>
          <w:left w:w="28" w:type="dxa"/>
          <w:bottom w:w="28" w:type="dxa"/>
          <w:right w:w="28" w:type="dxa"/>
        </w:tblCellMar>
      </w:tblPr>
      <w:tblGrid>
        <w:gridCol w:w="1853"/>
        <w:gridCol w:w="1631"/>
        <w:gridCol w:w="1647"/>
        <w:gridCol w:w="211"/>
        <w:gridCol w:w="794"/>
        <w:gridCol w:w="109"/>
        <w:gridCol w:w="109"/>
        <w:gridCol w:w="109"/>
        <w:gridCol w:w="109"/>
        <w:gridCol w:w="211"/>
        <w:gridCol w:w="689"/>
        <w:gridCol w:w="109"/>
        <w:gridCol w:w="109"/>
        <w:gridCol w:w="109"/>
        <w:gridCol w:w="109"/>
        <w:gridCol w:w="211"/>
        <w:gridCol w:w="794"/>
        <w:gridCol w:w="109"/>
        <w:gridCol w:w="109"/>
        <w:gridCol w:w="109"/>
        <w:gridCol w:w="109"/>
        <w:gridCol w:w="268"/>
        <w:gridCol w:w="270"/>
        <w:gridCol w:w="318"/>
      </w:tblGrid>
      <w:tr>
        <w:trPr/>
        <w:tc>
          <w:tcPr>
            <w:tcW w:w="185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5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5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revenue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warrant liability</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embedded derivative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contingent value rights liability</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513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Collaboration and license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recognized no collaboration and license revenue, compared to $0.4 million for the six months ended June 30, 2025, a decrease of $0.4 million. The collaboration and license revenue recognized in the prior period was related to the sale of legacy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Grant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recognized $0.1 million of grant revenue, compared to $1.0 million for the six months ended June 30, 2025, a decrease of $0.9 million. The decrease was primarily due to decreased expenses reimbursable under the grant from NINDS incurred during the six months ended June 30, 2026.</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comparison of research and development expenses for the six months ended June 30, 2026 and 2025 (in thousands, except percentages):</w:t>
      </w:r>
    </w:p>
    <w:tbl>
      <w:tblPr>
        <w:tblW w:w="10091" w:type="dxa"/>
        <w:jc w:val="left"/>
        <w:tblInd w:w="0" w:type="dxa"/>
        <w:tblLayout w:type="fixed"/>
        <w:tblCellMar>
          <w:top w:w="28" w:type="dxa"/>
          <w:left w:w="28" w:type="dxa"/>
          <w:bottom w:w="28" w:type="dxa"/>
          <w:right w:w="28" w:type="dxa"/>
        </w:tblCellMar>
      </w:tblPr>
      <w:tblGrid>
        <w:gridCol w:w="1881"/>
        <w:gridCol w:w="1656"/>
        <w:gridCol w:w="166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1881"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Descartes-08 for MG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Descartes-08 for dermatomyositis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Early stage programs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employee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facilities and 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1"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research and development expenses were $39.9 million, compared to $29.5 million for the six months ended June 30, 2025, an increase of $10.4 million. The increase was primarily due to an increase in expenses for Descartes-08 for MG, primarily related to the expenses for the ongoing Phase 3 AURORA trial, coupled with expenses for Descartes-08 in dermatomyositis, related to the expense for the ongoing Phase 2 TRITON trial. These increases were partially offset by a decrease in stock-based compensation expense, coupled with lower expenses for early stage programs, primarily related to our decision to no longer pursue development of Descartes-08 in systemic lupus erythematosus, partially offset by costs associated with the WestGene Agreement.</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general and administrative expenses were $15.8 million compared to $15.6 million for the six months ended June 30, 2025, an increase of $0.2 million. The increase was primarily the result of higher professional and consulting fees coupled with an increase in patent costs, partially offset by lower facilities expenses.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income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for the six months ended June 30, 2026 was $2.1 million, compared to $3.8 million for the six months ended June 30, 2025. The decrease in interest income was due to decreased cash and cash equivalents balances and lower interest rates.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2026 was $0.9 million. Interest expense is related to the Term Loan Facility (as defined below) with K2HV (as defined below) and consists of contractual interest expense as well as the amortization of debt issuance costs, debt discounts, deferred debt issuance costs, deferred debt discounts and the accretion of the final payment fee. There was no interest expense for the six months ended June 30, 2025.</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(Loss) gain change in fair value of warrant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recognized an immaterial expense associated with the increase in the fair value of warrant liability, compared to $2.5 million of income from the decrease in the fair value of warrant liability for the six months ended June 30, 2025, a change of $2.5 million. The increase in fair value of the warrant liability in the current period was primarily driven by an increase in the per-share price of our common stock, partially offset by a decrease in the remaining expected life of the warrants.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Loss on change in fair value of embedded derivative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we recognized $4.5 million of expense associated with the increase in the fair value of the embedded derivative. The increase in the fair value of the embedded derivative was primarily due to the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stock price between the Closing Date (as defined below) and June 30, 2026. There was no change in fair value of embedded derivative for the six months ended June 30, 2025.</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on change in fair value of contingent value rights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recognized $35.4 million of income from the decrease in the fair value of the CVR liability, compared to $35.6 million of income from the decrease in the fair value of the CVR liability for the six months ended June 30, 2025, a change of $0.2 million. The decrease in the fair value of CVR liability was primarily due to changes in the timing of anticipated payments during the six months ended June 30, 2026.</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income (expense),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recognized $0.1 million of other income, net, compared to an immaterial amount of other expense, net for the six months ended June 30, 2025, a change of $0.1 million.</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loss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for the six months ended June 30, 2026 was $23.4 million as compared to net loss of $1.8 million for the six months ended June 30, 2025, an increase of $21.6 million. The increase in net loss was primarily due to higher research and development expenses and loss on change in fair value of embedded derivative, coupled with lower income associated with the change in the fair value of the warrant liability, interest income and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cash equivalents, and restricted cash were $149.3 million as of June 30, 2026, of which $1.7 million was restricted cash related to lease commitments.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existing cash equivalents, we from time to time have received and may receive in the future research and development funding pursuant to our collaboration and license agreements and debt financing from loans. Currently, funding from payments under our collaboration agreements and the Loan Agreement represent our only sources of committed external funds.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liability associated with the contingent value rights agreement, or CVR Agreement, entered into on December 6, 2023, will be settled solely through cash flow received under the Sobi License (as defined below)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Collaboration and License Agreements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In-licenses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2026, the Company entered into the WestGene Agreement with WestGene to support the development of in vivo CAR-T-cell therapies for autoimmune diseases. Under the WestGene Agreement, WestGene granted the Company a non-exclusive, worldwide license, with the right to grant sublicenses, to certain technology and related intellectual property for the research, development, manufacture and commercialization of licensed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WestGene is responsible for performing certain development, manufacturing and related support activities pursuant to an agreed development plan and budget. The Company is responsible for funding such activities and generally controls future development, regulatory, commercialization and sublicensing activities for licensed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consideration for the rights granted under the WestGene Agreement, the Company is obligated to make an upfront payment and to fund specified development activities. The WestGene Agreement also provides for potential development, regulatory and sales-based milestone payments, royalties on net sales of licensed products and certain sublicense revenue-sharing payments, in each case subject to the terms of the WestGene Agreement. For further description of the WestGene Agreement, see Note 13, “Collaboration and License Agreements” to our unaudited consolidated financial statements included elsewhere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2023, we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13, “Collaboration and License Agreements” to our unaudited consolidated financial statements included elsewhere in this Quarterly Report.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September 2019, we entered into a non-exclusive, worldwide license agreement, or the NCI Agreement, with the U.S. Department of Health and Human Services, represented by the National Cancer Institute of the National Institutes of Health, or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13, “Collaboration and License Agreements” to our unaudited consolidated financial statements included elsewhere in this Quarterly Report.</w:t>
      </w:r>
    </w:p>
    <w:p>
      <w:pPr>
        <w:pStyle w:val="TextBody"/>
        <w:bidi w:val="0"/>
        <w:spacing w:lineRule="auto" w:line="288"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Out-licenses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2020, we entered into a License and Development Agreement, or as so amended, the Sobi License, with Swedish Orphan Biovitrum AB (publ.), or Sobi. Sobi paid us a one-time, upfront payment of $75.0 million, and upon the closing of a private placement of our common stock to Sobi at a price of $138.468 per share, we received an additional $25.0 million from Sobi. We are eligible to receive $630.0 million in milestone payments upon the achievement of various development and regulatory milestones and sales thresholds for annual net sales of Nanoecapsulated Sirolimus plus Pegadricase, or NASP, and tiered royalty payments ranging from the low double digits on the lowest sales tier to the high teens on the highest sales tier. Sobi has agreed to fund the Phase 3 clinical program of NASP, which commenced in September 2020. In July 2022, we received $10.0 million for the completion of the enrollment of the DISSOLVE II trial. In July 2024, we received $30.0 million for the milestone associated with the initiation of a rolling biologics license application to the FDA for NASP for the potential treatment of chronic refractory gout by Sobi. Proceeds from milestone payments and royalties on sales of NASP, if any, are required to be distributed, net of certain agreed deductions, to holders of the CVRs. For further description of the Sobi License, see Note 12, “Revenue Arrangements” to our unaudited consolidated financial statements included elsewhere in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Financings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Loan and Security Agreement with K2 HealthVentures LLC</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22, 2026, or the Closing Date, we entered into a Loan and Security Agreement, or the Loan Agreement, with K2 HealthVentures LLC, or K2HV, as administrative agent, certain financial institutions party thereto as lenders (including K2HV) and Ankura Trust Company, LLC, as collateral trustee. The Loan Agreement provides for a senior secured term loan facility with aggregate commitments of up to $150.0 million available in four tranches, or the Term Loan Facility, comprised of: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first tranche term loan in an aggregate principal amount of $50.0 million, funded on the Closing Date, or the First Tranche;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second tranche term loan in an aggregate principal amount of $25.0 million, available to be drawn between January 1, 2027 and December 1, 2027 subject to our achievement of specified clinical and financing milestones on or prior to December 1, 2027, or the Second Tranche;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third tranche term loan in an aggregate principal amount of $25.0 million, available to be drawn between January 1, 2028 and June 1, 2028 subject to our achievement of specified approval and sales milestones on or prior to June 1, 2028, or the Third Tranche;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fourth tranche term loan in an aggregate principal amount of up to $50.0 million, available in the lenders’ sole discretion.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Facility bears interest at a variable annual rate equal to the greater of (i) 8.95% and (ii) the prime rate as quoted in The Wall Street Journal plus 2.20%, payable monthly in arrears on the first calendar day of each month. The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 Facility matures on June 1, 2030 and provides for interest-only payments for the first 36 months following the Closing Date, followed by 12 equal monthly payments of principal and interest commencing on the amortization date of July 1, 2029.</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at our option, prepay all, but not less than all, of the outstanding principal balance together with accrued and unpaid interest and all amounts then due under the Loan Agreement, subject to a prepayment premium and an end of term fee. In addition, prior to repayment in full of the Term Loan Facility, the lenders may jointly elect to convert up to $15.0 million of the outstanding principal into shares of our common stock, and/or certain other securities issued in a qualifying financing (any such common stock and other securities, the Conversion Shares), subject to a $5.0 million conversion limit prior to the first anniversary of the Closing Date, at a conversion price equal to, at the lenders’ election, either (i) if the relevant Conversion Shares are common stock, $8.2526 per share of common stock or (ii) if the relevant Conversion Shares are shares of common stock or other securities issued in a qualifying financing, the lowest effective price per share or other security in our next qualified financing; provided, that to the extent such securities issued in a qualifying financing are convertible securities, the conversion price shall equal $1.00 for each $1.00 of notional principal represented by such convertible securities, or the Conversion Option. No prepayment premium applies to principal amounts converted into equity. The Loan Agreement also provides the lenders with certain registration rights, a right to participate in future qualified financings of the Company up to an aggregate of $5.0 million, and customary conversion mechanics and beneficial ownership limitations. As of June 30, 2026, no portion of the outstanding principal had been converted into equity.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April 1, 2027, the Loan Agreement requires us to maintain a minimum unrestricted cash balance at all times when our market capitalization is less than $750.0 million of at least 80% of our outstanding obligations to the lenders, subject to reduction to 50% upon achievement of the Second Tranche Milestone, as defined in the Loan Agreement, and will revert to 80% if the Third Tranche Milestone, as defined in the Loan Agreement, is not achieved by the applicable date. Beginning on January 1, 2029, the Loan Agreement requires us to maintain compliance with a minimum trailing three-month net product revenue covenant of $40.0 million, tested as of the last day of each calendar quarter, with required quarter-over-quarter growth.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obligations under the Loan Agreement are secured by a first priority security interest in substantially all of our assets, excluding intellectual property, which is subject to a negative pledge. The Loan Agreement contains customary affirmative and negative covenants, including restrictions on additional indebtedness, liens, dividends, investments, asset sales, repurchase of equity, certain affiliate transactions, changes of control, mergers or acquisitions, as well as customary events of default. The Loan Agreement contemplates that the Company’s existing and future material domestic subsidiaries will be required to become co-borrowers or guarantors and to grant a security interest in their assets to secure the obligations under the Loan Agreement. As of June 30, 2026, we were in compliance with all covenants under the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initial borrowing, we recognized a $7.4 million debt discount associated with the Compound Derivative (as defined below) and incurred approximately $2.8 million of debt issuance costs and an approximately $1.2 million original issue discount. The amortized cost of the Compound Derivative discount is included within “Long-term debt” in the consolidated balance sheet as of June 30, 2026. The debt issuance costs and original issue discount were allocated among the funded and contingent borrowing tranches, of which approximately $1.4 million and $0.6 million were allocated to the First Tranche, respectively, and the amortized cost is included within “Long-term debt” in the consolidated balance sheet as of June 30, 2026. The remaining $1.4 million and $0.6 million were allocated to Second Tranche and Third Tranche, respectively, and are deferred within “Long-term prepaid expenses and other assets” in the consolidated balance sheet as of June 30, 2026, and until the related tranche is funded. Deferred debt issuance costs and original issue discount are amortized to interest expense over the term of the Loan Agreement using the straight-line method.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required to pay a final payment fee equal to 6.95% of funded principal, or approximately $3.5 million based on the amount funded as of June 30, 2026, which is accreted to interest expense over the term of the Loan Agreement using the effective interest method.</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Embedded Derivative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Loan Agreement, we identified certain embedded features that require separate accounting as derivatives, including the Conversion Option and certain default, acceleration, indemnification and contingent payment features, collectively referred to as the Compound Derivative.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Compound Derivative, we recognized a debt discount and a corresponding derivative liability based on an initial estimated fair value of approximately $7.4 million. The discount will be amortized to interest expense over the term of the Loan Agreement using the effective interest method.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Compound Derivative is remeasured at fair value each reporting period, with changes in fair value recognized in our consolidated statements of operations and comprehensive income (loss). As of June 30, 2026, the estimated fair value was approximately $11.9 million and is included within “Long-term debt” in the consolidated balance sheet as of June 30, 2026. We recorded a loss on the change in fair value of approximately $4.5 million for the three and six months ended June 30,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fair value of the Compound Derivative is driven primarily by the Conversion Option and was estimated using a Black-Scholes model. The valuation is classified as Level 3 in the fair value hierarchy.</w:t>
      </w:r>
    </w:p>
    <w:p>
      <w:pPr>
        <w:pStyle w:val="TextBody"/>
        <w:bidi w:val="0"/>
        <w:spacing w:lineRule="auto" w:line="288" w:before="0" w:after="180"/>
        <w:ind w:left="0" w:right="0" w:firstLine="360"/>
        <w:jc w:val="both"/>
        <w:rPr>
          <w:color w:val="000000"/>
        </w:rPr>
      </w:pPr>
      <w:r>
        <w:rPr>
          <w:color w:val="000000"/>
        </w:rPr>
        <w:t>“</w:t>
      </w:r>
      <w:r>
        <w:rPr>
          <w:rFonts w:ascii="Times New Roman;serif" w:hAnsi="Times New Roman;serif"/>
          <w:b w:val="false"/>
          <w:i/>
          <w:color w:val="000000"/>
          <w:sz w:val="20"/>
        </w:rPr>
        <w:t>At the Market” Sales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13, 2024, we entered into a Sales Agreement, or the Sales Agreement, with Leerink Partners LLC to sell shares of our common stock, from time to time, through an “at the market” equity offering program under which Leerink Partners LLC acts as sales agent. The shares of common stock sold pursuant to the Sales Agreement will be issued pursuant to our shelf registration statement on Form S-3 (File No. 333-283803), filed on December 13, 2024 with the SEC and related prospectus supplement, filed on January 8, 2025 with the SEC, for aggregate gross sales proceeds of up to $100.0 million.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sold 2,813,736 shares of our common stock pursuant to the Sales Agreement for net proceeds of approximately $19.3 million after commissions and expenses. As of June 30, 2026, approximately $78.9 million remains available under the at the market program. No shares were sold pursuant to the Sales Agreement during the six months ended June 30,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Future funding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Term Loan Facility payments,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an accumulated deficit of $845.8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or debt issuance, we may have to relinquish valuable rights to our technologies or product candidates, or grant licenses on terms that are not favorable to us. To the extent that we raise additional capital through the sale of equity instruments or through debt issuance, the ownership interest of our existing stockholders will be diluted, and other preferences may be necessary that adversely affect the rights of existing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cash equivalents, and restricted cash as of June 30, 2026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scope, progress, results and costs of our clinical trials, preclinical development, manufacturing, laboratory testing and logistics;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satisfaction of the conditions precedent to draw further on the Term Loan Facility under the Loan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number of product candidates that we pursue and the speed with which we pursue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headcount growth and associated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revenue, if any, from commercial sales of our product candidates for which we receive marketing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 of competing technological and market developments;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extent to which we acquire or invest in businesses, products and technologies, including entering into licensing or collaboration arrangements for product candidates.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Requirements due to Contractual Obligations and Other Commitments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make payments under the Term Loan Facility, which bears interest at a variable annual rate equal to the greater of (i) 8.95% and (ii) the prime rate as quoted in The Wall Street Journal plus 2.20%, payable monthly in arrears on the first calendar day of each month. As of June 30, 2026, accrued interest payable under the Term Loan Facility was approximately $0.5 million, which is included within “Accrued expenses and other current liabilities” on the accompanying consolidated balance sheet. As of June 30, 2026, based on current indebtedness and interest rates, we expect to pay $16.2 million in interest under the Term Loan Facility, in addition to the principal of $50.0 million and final payment fee of approximately $3.5 million.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under agreement to lease approximately 32,294 square feet of laboratory and office space in Watertown, Massachusetts through May 2028. Remaining lease payments from June 30, 2026 through the end of the lease term total approximately $5.4 million. Payments made and remaining obligations on this lease liability are subject to potential reimbursement through deductions to CVR distributions as described in Note 5, “Fair Value Measurements” to our unaudited consolidated financial statements included elsewhere in this Quarterly Report and were reimbursed in the March 2025 CVR distribution.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2023 we acquired two leases for office and laboratory space in Gaithersburg, Maryland, which expire in January 2027. Annualized rent is approximately $0.3 million and remaining lease payments from June 30, 2026 through the end of the lease term total approximately $0.2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2024, we entered into an agreement to lease approximately 19,199 square feet of integrated manufacturing and office space in Frederick, Maryland. In May 2024, we entered into an amendment to lease an additional approximately 7,842 square feet at the same site. In August 2024, we entered into a second amendment to lease an additional approximately 2,009 square feet at the same site. In March 2025, we entered into a third amendment to lease an additional approximately 6,439 square feet at the same site. The leases expire coterminously in June 2031. Annualized base rent under the leases is approximately $1.4 million and is subject to annual increases in accordance with the terms of the lease agreement. The leases provide for a tenant improvement allowance of $0.8 million. Remaining lease payments total $8.0 million through the end of the lease term.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party to certain license and collaboration agreements with WestGene, Biogen, NCI and Shenyang Sunshine Pharmaceutical Co., Ltd., or 3SBio. We may be obligated to make certain future payments which are contingent upon future events such as our achievement of specified regulatory and commercial milestones, or royalties on net product sales under these agreements. As of June 30, 2026,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5, “Fair Value Measurements” to our unaudited consolidated financial statements included elsewhere in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Summary of Cash Flows</w:t>
      </w:r>
    </w:p>
    <w:tbl>
      <w:tblPr>
        <w:tblW w:w="8876" w:type="dxa"/>
        <w:jc w:val="left"/>
        <w:tblInd w:w="0" w:type="dxa"/>
        <w:tblLayout w:type="fixed"/>
        <w:tblCellMar>
          <w:top w:w="28" w:type="dxa"/>
          <w:left w:w="28" w:type="dxa"/>
          <w:bottom w:w="28" w:type="dxa"/>
          <w:right w:w="28" w:type="dxa"/>
        </w:tblCellMar>
      </w:tblPr>
      <w:tblGrid>
        <w:gridCol w:w="1694"/>
        <w:gridCol w:w="1488"/>
        <w:gridCol w:w="1497"/>
        <w:gridCol w:w="109"/>
        <w:gridCol w:w="194"/>
        <w:gridCol w:w="194"/>
        <w:gridCol w:w="377"/>
        <w:gridCol w:w="1423"/>
        <w:gridCol w:w="194"/>
        <w:gridCol w:w="109"/>
        <w:gridCol w:w="109"/>
        <w:gridCol w:w="109"/>
        <w:gridCol w:w="211"/>
        <w:gridCol w:w="796"/>
        <w:gridCol w:w="109"/>
        <w:gridCol w:w="109"/>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706" w:type="dxa"/>
            <w:gridSpan w:val="8"/>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provided by:</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22,467 </w:t>
            </w:r>
          </w:p>
        </w:tc>
        <w:tc>
          <w:tcPr>
            <w:tcW w:w="1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$43.2 million compared to $40.6 million for the six months ended June 30, 2025. The increase in cash used in operating activities of approximately $2.6 million was primarily due to $47.5 million of net loss, adjusted for non-cash items, and $4.3 million of cash provided by changes in operating assets and liabilities, in each case during the six months ended June 30, 2026 compared to $32.0 million of net loss, adjusted for non-cash items, and $8.6 million of cash used in changes in operating assets and liabilities during the six months ended June 30, 2025.</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six months ended June 30, 2026 was $0.3 million compared to $3.7 million for the six months ended June 30, 2025, a decrease of approximately $3.4 million. The net cash used in investing activities for the six months ended June 30, 2026 and 2025 consisted of purchases of property and equipment. </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$66.0 million compared to net cash used in financing activities of $8.0 million for the six months ended June 30, 2025, an increase of approximately $74.0 million. The net cash provided by financing activities in the six months ended June 30, 2026 was primarily from approximately $46.0 million in proceeds from the issuance of Term Loan Facility, net, coupled with $19.3 million in proceeds from sales of our common stock pursuant to the Sales Agreement, net of commissions and expenses. The net cash used in financing activities in the six months ended June 30, 2025 was primarily the result of payments for the CVR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discussion of recently adopted or issued accounting pronouncements refer to Note 2, “Summary of Significant Accounting Policies” to our unaudited consolidated financial statements included elsewhere in this Quarterly Report.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did not have any off-balance sheet arrangements as defined in the rules and regulations of the SEC.</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and six months ended June 30, 2026, there were no material changes, other than described in Note 2, “Summary of Significant Accounting Policies” in this Quarterly Report on Form 10-Q, to our critical accounting policies from those described in our Annual Report on Form 10-K for the year ended 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Smaller Reporting Company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60" w:after="60"/>
        <w:ind w:left="0" w:right="0" w:firstLine="36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market risk inherent in our financial instruments and in our financial position represents the potential loss arising from adverse changes in interest rates. As of June 30, 2026, we have an outstanding principal amount related to our Term Loan Facility of $50.0 million. The Term Loan Facility bears interest at the greater of (i) 8.95% and (ii) the prime rate as quoted in The Wall Street Journal plus 2.20%. Refer to Note 9, “Debt” to our unaudited consolidated financial statements included elsewhere in this Quarterly Report.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cash, cash equivalents, and restricted cash of $149.3 million and $126.9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 hypothetical change of one percentage point in interest rates would not have a material effect on the fair market value of our cash equivalents or short-term marketable securities. Refer to Note 5, “Fair Value Measurements” to our unaudited consolidated financial statements included elsewhere in this Quarterly Report.</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Equity price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Compound Derivative is accounted for at fair value at each reporting period. The primary feature of this derivative is the Conversion Option. As such, a market risk inherent in this financial instrument and in our financial position represents the potential loss arising from changes in the price per share of our common stock. Refer to Note 5, “Fair Value Measurements” to our unaudited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June 30,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ind w:left="0" w:right="0" w:firstLine="36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the risk factors previously disclosed in Item 1A of our Annual Report on Form 10-K for the year ended December 31, 2025. Other than the risk factors described below, there have been no material changes from the risk factors previously disclosed in such filings.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Issuing additional equity securities may cause dilution to our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sufficient product revenue to fund our operations, we expect to finance our operations with our existing cash, cash equivalents and marketable securities, any current or future equity or debt financings, including under the Sales Agreement and Loan Agreement, and upfront and milestone and royalties payments, if any, received under any licenses or collaborations. If we raise additional capital through the sale of equity or convertible debt securities, are required to issue equity securities in conversion of our outstanding obligations pursuant to the Loan Agreement,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The terms of our Loan Agreement place restrictions on our operating and financial flexibility. If we raise additional capital through debt financing, the terms of any new debt could further restrict our operating and financial flexibility.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the Loan Agreement with K2HV. Our obligations under the Loan Agreement are secured by a security interest in substantially all of our assets, other than intellectual property assets.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Loan Agreement includes customary affirmative and negative covenants, as well as standard events of default, including an event of default based on the occurrence of a material adverse event. The negative covenants include, among others, restrictions on additional indebtedness, liens, dividends, investments, asset sales, repurchase of equity, certain affiliate transactions, changes of control and mergers or acquisitions. Beginning April 1, 2027, the Loan Agreement requires us to maintain a minimum unrestricted cash balance at all times when our market capitalization is less than $750.0 million of 80% of our outstanding obligations to the lenders, subject to reduction to 50% upon achievement of certain Second Tranche Milestones, and will revert to 80% if certain Third Tranche Milestones are not achieved by the applicable date. Beginning on January 1, 2029, the Loan Agreement requires us to maintain compliance with a minimum trailing three-month net product revenue covenant of $40.0 million, tested as of the last day of each calendar quarter, with required quarter-over-quarter growth. These restrictive covenants could limit our flexibility in operating our business and our ability to pursue business opportunities that we or our stockholders may consider beneficial. In addition, K2HV could declare a default upon the occurrence of any event that it interprets could be expected to have a material adverse effect, subject to the limitations specified in the Loan Agreement. Upon the occurrence and continuance of an event of default, K2HV may declare all outstanding obligations immediately due and payable and take such other actions as set forth in the Loan Agreement. Any declaration of an event of default could significantly harm our business and prospects and could cause the price of our common stock to decline. If we are liquidated, the rights of the lenders to repayment would be senior to the rights of the holders of our common stock to receive any proceeds from liquidation. We may not have enough available cash or be able to raise additional funds through equity or debt financings to repay these outstanding obligations at the time any event of default occurs. Further, if we raise any additional capital through debt financing, the terms of such additional debt could further restrict our operating and financial flexibility.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 officer or director, as defined in Rule 16a-1(f) of the Exchange Act, informed us of the adoption, modification or termination of any “Rule 10b5-1 trading arrangement” or a “non-Rule 10b5-1 trading arrangement,” as those terms are defined in Item 408 of Regulation 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97"/>
        <w:gridCol w:w="261"/>
        <w:gridCol w:w="262"/>
        <w:gridCol w:w="109"/>
        <w:gridCol w:w="109"/>
        <w:gridCol w:w="109"/>
        <w:gridCol w:w="1714"/>
        <w:gridCol w:w="1463"/>
        <w:gridCol w:w="1468"/>
        <w:gridCol w:w="109"/>
        <w:gridCol w:w="109"/>
        <w:gridCol w:w="109"/>
        <w:gridCol w:w="195"/>
        <w:gridCol w:w="195"/>
        <w:gridCol w:w="196"/>
        <w:gridCol w:w="109"/>
        <w:gridCol w:w="109"/>
        <w:gridCol w:w="109"/>
        <w:gridCol w:w="267"/>
        <w:gridCol w:w="247"/>
        <w:gridCol w:w="177"/>
        <w:gridCol w:w="109"/>
        <w:gridCol w:w="109"/>
        <w:gridCol w:w="109"/>
        <w:gridCol w:w="245"/>
        <w:gridCol w:w="245"/>
        <w:gridCol w:w="246"/>
        <w:gridCol w:w="109"/>
        <w:gridCol w:w="109"/>
        <w:gridCol w:w="109"/>
        <w:gridCol w:w="403"/>
        <w:gridCol w:w="333"/>
        <w:gridCol w:w="356"/>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w:t>
              <w:br/>
              <w:t>Date</w:t>
            </w:r>
          </w:p>
        </w:tc>
      </w:tr>
      <w:tr>
        <w:trPr/>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Agreement and Plan of Merger, dated November 13, 2023, by and among Selecta Biosciences, Inc., Sakura Merger Sub I, Inc., Sakura Merger Sub II, LLC, and Cartesian Therapeutics,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11/13/2023</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Selecta Biosciences,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6/29/2016</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the Restated Certificate of Incorporation of Selecta Biosciences, Inc., dated June 21,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6/21/2022</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the Restated Certificate of Incorporation of Selecta Biosciences, Inc., dated November 13,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11/13/2023</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to the Restated Certificate of Incorporation, as amended, of Cartesian Therapeutics, Inc., dated March 28,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3/28/2024</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Amended and Restated By-laws of Cartesian Therapeutics,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10/30/2025</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Certificate of Designation of Preferences, Rights and Limitations of Series A Non-Voting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11/13/2023</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Amendment to the Certificate of Designation of Series A Non-Voting Convertible Preferred Stock, dated March 26,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3/28/2024</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Certificate of Designation of Preferences, Rights and Limitations of Series B Non-Voting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7/2/2024</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Loan and Security Agreement, dated as of May 22, 2026, among Cartesian Therapeutics, Inc. and Cartesian Bio, LLC, as borrowers, the lenders party thereto, K2 HealthVentures LLC, as administrative agent, and Ankura Trust Company, LLC, as collateral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5/26/2026</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_employmentinduc.htm">
              <w:r>
                <w:rPr>
                  <w:rStyle w:val="InternetLink"/>
                  <w:rFonts w:ascii="Times New Roman;serif" w:hAnsi="Times New Roman;serif"/>
                  <w:b w:val="false"/>
                  <w:color w:val="0000FF"/>
                  <w:sz w:val="20"/>
                  <w:u w:val="single"/>
                </w:rPr>
                <w:t>Amended and Restated Cartesian Therapeutics, Inc. 2018 Employment Inducement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6302026.htm">
              <w:r>
                <w:rPr>
                  <w:rStyle w:val="InternetLink"/>
                  <w:rFonts w:ascii="Times New Roman;serif" w:hAnsi="Times New Roman;serif"/>
                  <w:b w:val="false"/>
                  <w:color w:val="0000FF"/>
                  <w:sz w:val="20"/>
                  <w:u w:val="single"/>
                </w:rPr>
                <w:t>Certification of Principal Executive Officer pursuant to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6302026.htm">
              <w:r>
                <w:rPr>
                  <w:rStyle w:val="InternetLink"/>
                  <w:rFonts w:ascii="Times New Roman;serif" w:hAnsi="Times New Roman;serif"/>
                  <w:b w:val="false"/>
                  <w:color w:val="0000FF"/>
                  <w:sz w:val="20"/>
                  <w:u w:val="single"/>
                </w:rPr>
                <w:t>Certification of Principal Financial Officer pursuant to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6302026.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Certain annexes, schedules and exhibits have been omitted pursuant to Item 601(a)(5) of Regulation S-K. The Company agrees to furnish supplementally a copy of any omitted attachment to the SEC on a confidential basis upon request.</w:t>
            </w:r>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ind w:left="0" w:right="0" w:firstLine="360"/>
        <w:jc w:val="both"/>
        <w:rPr/>
      </w:pPr>
      <w:hyperlink w:anchor="ibaad1dba49c14c3ca879927645e3342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by the following persons on behalf of the registrant in the capacities and on the dates indicated.</w:t>
      </w:r>
    </w:p>
    <w:p>
      <w:pPr>
        <w:pStyle w:val="TextBody"/>
        <w:bidi w:val="0"/>
        <w:spacing w:before="120" w:after="120"/>
        <w:ind w:left="0" w:right="0" w:firstLine="360"/>
        <w:jc w:val="both"/>
        <w:rPr/>
      </w:pPr>
      <w:r>
        <w:rPr/>
      </w:r>
    </w:p>
    <w:tbl>
      <w:tblPr>
        <w:tblW w:w="8948"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519"/>
        <w:gridCol w:w="519"/>
        <w:gridCol w:w="519"/>
        <w:gridCol w:w="1528"/>
        <w:gridCol w:w="1528"/>
        <w:gridCol w:w="216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CARTESIAN THERAPEUTICS,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Carsten Brunn,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Carsten Brunn,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Chairman of the Board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Blaine Davis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Blaine Davis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tbl>
      <w:tblPr>
        <w:tblW w:w="5490" w:type="dxa"/>
        <w:jc w:val="left"/>
        <w:tblInd w:w="0" w:type="dxa"/>
        <w:tblLayout w:type="fixed"/>
        <w:tblCellMar>
          <w:top w:w="28" w:type="dxa"/>
          <w:left w:w="28" w:type="dxa"/>
          <w:bottom w:w="28" w:type="dxa"/>
          <w:right w:w="28" w:type="dxa"/>
        </w:tblCellMar>
      </w:tblPr>
      <w:tblGrid>
        <w:gridCol w:w="1758"/>
        <w:gridCol w:w="1545"/>
        <w:gridCol w:w="2187"/>
      </w:tblGrid>
      <w:tr>
        <w:trPr/>
        <w:tc>
          <w:tcPr>
            <w:tcW w:w="175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22"/>
              </w:rPr>
              <w:t>CARTESIAN THERAPEUTICS, INC.</w:t>
              <w:br/>
              <w:t xml:space="preserve">AMENDED AND RESTATED 2018 EMPLOYMENT </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INDUCEMENT INCENTIVE AWARD PLAN</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w:t>
        <w:br/>
        <w:t xml:space="preserve">PURPOSE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Plan’s purpose is to enhance the Company’s ability to attract, retain and motivate persons who are expected to make important contributions to the Company by providing these individuals with equity ownership opportunities. Capitalized terms used in the Plan are defined in Article XI.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w:t>
        <w:br/>
        <w:t>ELIGIBILITY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Eligible Individuals are eligible to be granted Awards under the Plan, subject to the limitations described herein.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III.</w:t>
        <w:br/>
        <w:t xml:space="preserve">ADMINISTRATION AND DELEGATION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3.1    </w:t>
      </w:r>
      <w:r>
        <w:rPr>
          <w:rFonts w:ascii="Times New Roman;serif" w:hAnsi="Times New Roman;serif"/>
          <w:b w:val="false"/>
          <w:color w:val="000000"/>
          <w:sz w:val="22"/>
          <w:u w:val="single"/>
        </w:rPr>
        <w:t>Administration</w:t>
      </w:r>
      <w:r>
        <w:rPr>
          <w:rFonts w:ascii="Times New Roman;serif" w:hAnsi="Times New Roman;serif"/>
          <w:b w:val="false"/>
          <w:color w:val="000000"/>
          <w:sz w:val="22"/>
        </w:rPr>
        <w:t>. 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 may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his or her agreement to enter into employment with the Company or a Subsidiary). The Administrator’s determinations under the Plan are in its sole discretion and will be final and binding on all persons having or claiming any interest in the Plan or any Award.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3.2    </w:t>
      </w:r>
      <w:r>
        <w:rPr>
          <w:rFonts w:ascii="Times New Roman;serif" w:hAnsi="Times New Roman;serif"/>
          <w:b w:val="false"/>
          <w:color w:val="000000"/>
          <w:sz w:val="22"/>
          <w:u w:val="single"/>
        </w:rPr>
        <w:t>Appointment of Committees</w:t>
      </w:r>
      <w:r>
        <w:rPr>
          <w:rFonts w:ascii="Times New Roman;serif" w:hAnsi="Times New Roman;serif"/>
          <w:b w:val="false"/>
          <w:color w:val="000000"/>
          <w:sz w:val="22"/>
        </w:rPr>
        <w:t xml:space="preserve">. To the extent Applicable Laws permit, the Board may delegate any or all of its powers under the Plan to one or more Committees. The Board may abolish any Committee or re-vest in itself any previously delegated authority at any time.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IV.</w:t>
        <w:br/>
        <w:t>STOCK AVAILABLE FOR AWARDS</w:t>
      </w:r>
    </w:p>
    <w:p>
      <w:pPr>
        <w:pStyle w:val="TextBody"/>
        <w:bidi w:val="0"/>
        <w:spacing w:lineRule="auto" w:line="288" w:before="0" w:after="240"/>
        <w:ind w:left="0" w:right="0" w:firstLine="720"/>
        <w:jc w:val="both"/>
        <w:rPr/>
      </w:pPr>
      <w:r>
        <w:rPr>
          <w:rFonts w:ascii="Times New Roman;serif" w:hAnsi="Times New Roman;serif"/>
          <w:b w:val="false"/>
          <w:color w:val="000000"/>
          <w:sz w:val="22"/>
        </w:rPr>
        <w:t>4.1    </w:t>
      </w:r>
      <w:r>
        <w:rPr>
          <w:rFonts w:ascii="Times New Roman;serif" w:hAnsi="Times New Roman;serif"/>
          <w:b w:val="false"/>
          <w:color w:val="000000"/>
          <w:sz w:val="22"/>
          <w:u w:val="single"/>
        </w:rPr>
        <w:t>Number of Shares</w:t>
      </w:r>
      <w:r>
        <w:rPr>
          <w:rFonts w:ascii="Times New Roman;serif" w:hAnsi="Times New Roman;serif"/>
          <w:b w:val="false"/>
          <w:color w:val="000000"/>
          <w:sz w:val="22"/>
        </w:rPr>
        <w:t>.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4.2    </w:t>
      </w:r>
      <w:r>
        <w:rPr>
          <w:rFonts w:ascii="Times New Roman;serif" w:hAnsi="Times New Roman;serif"/>
          <w:b w:val="false"/>
          <w:color w:val="000000"/>
          <w:sz w:val="22"/>
          <w:u w:val="single"/>
        </w:rPr>
        <w:t>Share Recycling</w:t>
      </w:r>
      <w:r>
        <w:rPr>
          <w:rFonts w:ascii="Times New Roman;serif" w:hAnsi="Times New Roman;serif"/>
          <w:b w:val="false"/>
          <w:color w:val="000000"/>
          <w:sz w:val="22"/>
        </w:rPr>
        <w:t xml:space="preserve">. If all or any part of an Award expires, lapses or is terminated, exchanged for cash, surrendered, repurchased, canceled without having been fully exercised or forfeited,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again be available for Award grants under the Plan. The payment of Dividend Equivalents in cash in conjunction with any outstanding Awards shall not count against the Overall Share Limit.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w:t>
        <w:br/>
        <w:t>STOCK OPTIONS AND STOCK APPRECIATION RIGHTS</w:t>
      </w:r>
    </w:p>
    <w:p>
      <w:pPr>
        <w:pStyle w:val="TextBody"/>
        <w:bidi w:val="0"/>
        <w:spacing w:lineRule="auto" w:line="288" w:before="0" w:after="240"/>
        <w:ind w:left="0" w:right="0" w:firstLine="720"/>
        <w:jc w:val="both"/>
        <w:rPr/>
      </w:pPr>
      <w:r>
        <w:rPr>
          <w:rFonts w:ascii="Times New Roman;serif" w:hAnsi="Times New Roman;serif"/>
          <w:b w:val="false"/>
          <w:color w:val="000000"/>
          <w:sz w:val="22"/>
        </w:rPr>
        <w:t>5.1    </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The Administrator may grant Non-Qualified Options or Stock Appreciation Rights to Eligible Individuals subject to the conditions and limitations in the Plan.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5.2    </w:t>
      </w:r>
      <w:r>
        <w:rPr>
          <w:rFonts w:ascii="Times New Roman;serif" w:hAnsi="Times New Roman;serif"/>
          <w:b w:val="false"/>
          <w:color w:val="000000"/>
          <w:sz w:val="22"/>
          <w:u w:val="single"/>
        </w:rPr>
        <w:t>Exercise Price</w:t>
      </w:r>
      <w:r>
        <w:rPr>
          <w:rFonts w:ascii="Times New Roman;serif" w:hAnsi="Times New Roman;serif"/>
          <w:b w:val="false"/>
          <w:color w:val="000000"/>
          <w:sz w:val="22"/>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pStyle w:val="TextBody"/>
        <w:bidi w:val="0"/>
        <w:spacing w:lineRule="auto" w:line="288" w:before="0" w:after="240"/>
        <w:ind w:left="0" w:right="0" w:firstLine="720"/>
        <w:jc w:val="both"/>
        <w:rPr/>
      </w:pPr>
      <w:r>
        <w:rPr>
          <w:rFonts w:ascii="Times New Roman;serif" w:hAnsi="Times New Roman;serif"/>
          <w:b w:val="false"/>
          <w:color w:val="000000"/>
          <w:sz w:val="22"/>
        </w:rPr>
        <w:t>5.3    </w:t>
      </w:r>
      <w:r>
        <w:rPr>
          <w:rFonts w:ascii="Times New Roman;serif" w:hAnsi="Times New Roman;serif"/>
          <w:b w:val="false"/>
          <w:color w:val="000000"/>
          <w:sz w:val="22"/>
          <w:u w:val="single"/>
        </w:rPr>
        <w:t>Duration</w:t>
      </w:r>
      <w:r>
        <w:rPr>
          <w:rFonts w:ascii="Times New Roman;serif" w:hAnsi="Times New Roman;serif"/>
          <w:b w:val="false"/>
          <w:color w:val="000000"/>
          <w:sz w:val="22"/>
        </w:rPr>
        <w:t xml:space="preserve">.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7665"/>
                <wp:effectExtent l="0" t="0" r="0" b="0"/>
                <wp:wrapNone/>
                <wp:docPr id="49"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5.4    </w:t>
      </w:r>
      <w:r>
        <w:rPr>
          <w:rFonts w:ascii="Times New Roman;serif" w:hAnsi="Times New Roman;serif"/>
          <w:b w:val="false"/>
          <w:color w:val="000000"/>
          <w:sz w:val="22"/>
          <w:u w:val="single"/>
        </w:rPr>
        <w:t>Exercise</w:t>
      </w:r>
      <w:r>
        <w:rPr>
          <w:rFonts w:ascii="Times New Roman;serif" w:hAnsi="Times New Roman;serif"/>
          <w:b w:val="false"/>
          <w:color w:val="000000"/>
          <w:sz w:val="22"/>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pStyle w:val="TextBody"/>
        <w:bidi w:val="0"/>
        <w:spacing w:lineRule="auto" w:line="288" w:before="0" w:after="240"/>
        <w:ind w:left="0" w:right="0" w:firstLine="720"/>
        <w:jc w:val="both"/>
        <w:rPr/>
      </w:pPr>
      <w:r>
        <w:rPr>
          <w:rFonts w:ascii="Times New Roman;serif" w:hAnsi="Times New Roman;serif"/>
          <w:b w:val="false"/>
          <w:color w:val="000000"/>
          <w:sz w:val="22"/>
        </w:rPr>
        <w:t>5.5    </w:t>
      </w:r>
      <w:r>
        <w:rPr>
          <w:rFonts w:ascii="Times New Roman;serif" w:hAnsi="Times New Roman;serif"/>
          <w:b w:val="false"/>
          <w:color w:val="000000"/>
          <w:sz w:val="22"/>
          <w:u w:val="single"/>
        </w:rPr>
        <w:t>Payment Upon Exercise</w:t>
      </w:r>
      <w:r>
        <w:rPr>
          <w:rFonts w:ascii="Times New Roman;serif" w:hAnsi="Times New Roman;serif"/>
          <w:b w:val="false"/>
          <w:color w:val="000000"/>
          <w:sz w:val="22"/>
        </w:rPr>
        <w:t xml:space="preserve">. Subject to Section 10.9, any Company insider trading policy (including blackout periods) and Applicable Laws, the exercise price of an Option must be paid by: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cash, wire transfer of immediately available funds or by check payable to the order of the Company, provided that the Company may limit the use of one of the foregoing payment forms if one or more of the payment forms below is permitted;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to the extent permitted by the Administrator, delivery (either by actual delivery or attestation) of Shares owned by the Participant valued at their Fair Market Value;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to the extent permitted by the Administrator, surrendering Shares then issuable upon the Option’s exercise valued at their Fair Market Value on the exercise date;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to the extent permitted by the Administrator, delivery of a promissory note or any other property that the Administrator determines is good and valuable consideration;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to the extent permitted by the Company, any combination of the above payment forms approved by the Administrator.</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w:t>
        <w:br/>
        <w:t>RESTRICTED STOCK; RESTRICTED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2"/>
        </w:rPr>
        <w:t>6.1    </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The Administrator may grant Restricted Stock, or the right to purchase Restricted Stock, to any Eligible Individual, subject to the Company’s right to repurchase all or part of such shares at their issue price or other stated or formula price from the Participant (or to require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7665"/>
                <wp:effectExtent l="0" t="0" r="0" b="0"/>
                <wp:wrapNone/>
                <wp:docPr id="50"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forfeiture of such shares) if conditions the Administrator specifies in the Award Agreement are not satisfied before the end of the applicable restriction period or periods that the Administrator establishes for such Award and subject to the conditions and limitations in the Plan. In addition, subject to the conditions and limitations in the Plan, the Administrator may grant to Eligible Individuals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6.2    </w:t>
      </w:r>
      <w:r>
        <w:rPr>
          <w:rFonts w:ascii="Times New Roman;serif" w:hAnsi="Times New Roman;serif"/>
          <w:b w:val="false"/>
          <w:color w:val="000000"/>
          <w:sz w:val="22"/>
          <w:u w:val="single"/>
        </w:rPr>
        <w:t>Restricted Stock</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Dividends</w:t>
      </w:r>
      <w:r>
        <w:rPr>
          <w:rFonts w:ascii="Times New Roman;serif" w:hAnsi="Times New Roman;serif"/>
          <w:b w:val="false"/>
          <w:color w:val="000000"/>
          <w:sz w:val="22"/>
        </w:rPr>
        <w:t xml:space="preserve">.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Stock Certificates</w:t>
      </w:r>
      <w:r>
        <w:rPr>
          <w:rFonts w:ascii="Times New Roman;serif" w:hAnsi="Times New Roman;serif"/>
          <w:b w:val="false"/>
          <w:color w:val="000000"/>
          <w:sz w:val="22"/>
        </w:rPr>
        <w:t>. The Company may require that the Participant deposit in escrow with the Company (or its designee) any stock certificates issued in respect of shares of Restricted Stock, together with a stock power endorsed in blank.</w:t>
      </w:r>
    </w:p>
    <w:p>
      <w:pPr>
        <w:pStyle w:val="TextBody"/>
        <w:bidi w:val="0"/>
        <w:spacing w:lineRule="auto" w:line="288" w:before="0" w:after="240"/>
        <w:ind w:left="0" w:right="0" w:firstLine="720"/>
        <w:jc w:val="both"/>
        <w:rPr/>
      </w:pPr>
      <w:r>
        <w:rPr>
          <w:rFonts w:ascii="Times New Roman;serif" w:hAnsi="Times New Roman;serif"/>
          <w:b w:val="false"/>
          <w:color w:val="000000"/>
          <w:sz w:val="22"/>
        </w:rPr>
        <w:t>6.3    </w:t>
      </w:r>
      <w:r>
        <w:rPr>
          <w:rFonts w:ascii="Times New Roman;serif" w:hAnsi="Times New Roman;serif"/>
          <w:b w:val="false"/>
          <w:color w:val="000000"/>
          <w:sz w:val="22"/>
          <w:u w:val="single"/>
        </w:rPr>
        <w:t>Restricted Stock Units.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Settlement</w:t>
      </w:r>
      <w:r>
        <w:rPr>
          <w:rFonts w:ascii="Times New Roman;serif" w:hAnsi="Times New Roman;serif"/>
          <w:b w:val="false"/>
          <w:color w:val="000000"/>
          <w:sz w:val="22"/>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Stockholder Rights</w:t>
      </w:r>
      <w:r>
        <w:rPr>
          <w:rFonts w:ascii="Times New Roman;serif" w:hAnsi="Times New Roman;serif"/>
          <w:b w:val="false"/>
          <w:color w:val="000000"/>
          <w:sz w:val="22"/>
        </w:rPr>
        <w:t>. A Participant will have no rights of a stockholder with respect to Shares subject to any Restricted Stock Unit unless and until the Shares are delivered in settlement of the Restricted Stock Unit.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Dividend Equivalents</w:t>
      </w:r>
      <w:r>
        <w:rPr>
          <w:rFonts w:ascii="Times New Roman;serif" w:hAnsi="Times New Roman;serif"/>
          <w:b w:val="false"/>
          <w:color w:val="000000"/>
          <w:sz w:val="22"/>
        </w:rPr>
        <w:t xml:space="preserve">.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VII.</w:t>
        <w:br/>
        <w:t xml:space="preserve">OTHER STOCK OR CASH BASED AWARDS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7665"/>
                <wp:effectExtent l="0" t="0" r="0" b="0"/>
                <wp:wrapNone/>
                <wp:docPr id="51"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VIII.</w:t>
        <w:br/>
        <w:t xml:space="preserve">ADJUSTMENTS FOR CHANGES IN COMMON STOCK </w:t>
        <w:br/>
        <w:t>AND CERTAIN OTHER EVENTS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8.1    </w:t>
      </w:r>
      <w:r>
        <w:rPr>
          <w:rFonts w:ascii="Times New Roman;serif" w:hAnsi="Times New Roman;serif"/>
          <w:b w:val="false"/>
          <w:color w:val="000000"/>
          <w:sz w:val="22"/>
          <w:u w:val="single"/>
        </w:rPr>
        <w:t>Equity Restructuring</w:t>
      </w:r>
      <w:r>
        <w:rPr>
          <w:rFonts w:ascii="Times New Roman;serif" w:hAnsi="Times New Roman;serif"/>
          <w:b w:val="false"/>
          <w:color w:val="000000"/>
          <w:sz w:val="22"/>
        </w:rPr>
        <w:t>(a)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(subject to Section 10.4),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8.2    </w:t>
      </w:r>
      <w:r>
        <w:rPr>
          <w:rFonts w:ascii="Times New Roman;serif" w:hAnsi="Times New Roman;serif"/>
          <w:b w:val="false"/>
          <w:color w:val="000000"/>
          <w:sz w:val="22"/>
          <w:u w:val="single"/>
        </w:rPr>
        <w:t>Corporate Transactions</w:t>
      </w:r>
      <w:r>
        <w:rPr>
          <w:rFonts w:ascii="Times New Roman;serif" w:hAnsi="Times New Roman;serif"/>
          <w:b w:val="false"/>
          <w:color w:val="000000"/>
          <w:sz w:val="22"/>
        </w:rPr>
        <w:t xml:space="preserve">.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To provide that such Award shall vest and, to the extent applicable, be exercisable as to all shares covered thereby, notwithstanding anything to the contrary in the Plan or the provisions of such Award;</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7665"/>
                <wp:effectExtent l="0" t="0" r="0" b="0"/>
                <wp:wrapNone/>
                <wp:docPr id="52"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To replace such Award with other rights or property selected by the Administrator; and/or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To provide that the Award will terminate and cannot vest, be exercised or become payable after the applicable event.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8.3    </w:t>
      </w:r>
      <w:r>
        <w:rPr>
          <w:rFonts w:ascii="Times New Roman;serif" w:hAnsi="Times New Roman;serif"/>
          <w:b w:val="false"/>
          <w:color w:val="000000"/>
          <w:sz w:val="22"/>
          <w:u w:val="single"/>
        </w:rPr>
        <w:t>Non-Assumption</w:t>
      </w:r>
      <w:r>
        <w:rPr>
          <w:rFonts w:ascii="Times New Roman;serif" w:hAnsi="Times New Roman;serif"/>
          <w:b w:val="false"/>
          <w:color w:val="000000"/>
          <w:sz w:val="22"/>
        </w:rPr>
        <w:t>. Notwithstanding any other provision of the Plan to the contrary, if a Change in Control occurs and an outstanding Award that is not subject to performance-based vesting conditions is not continued, converted, assumed, or replaced with a substantially similar award by (i) the Company, or (ii) a successor entity or its parent or subsidiary (an “</w:t>
      </w:r>
      <w:r>
        <w:rPr>
          <w:rFonts w:ascii="Times New Roman;serif" w:hAnsi="Times New Roman;serif"/>
          <w:b/>
          <w:i/>
          <w:color w:val="000000"/>
          <w:sz w:val="22"/>
        </w:rPr>
        <w:t>Assumption</w:t>
      </w:r>
      <w:r>
        <w:rPr>
          <w:color w:val="000000"/>
        </w:rPr>
        <w:t>”</w:t>
      </w:r>
      <w:r>
        <w:rPr>
          <w:rFonts w:ascii="Times New Roman;serif" w:hAnsi="Times New Roman;serif"/>
          <w:b w:val="false"/>
          <w:color w:val="000000"/>
          <w:sz w:val="22"/>
        </w:rPr>
        <w:t>), then, immediately prior to the Change in Control, such Award will become fully vested and exercisable and all forfeiture restrictions on such Award shall lapse. The Administrator shall determine whether an Assumption of an Award has occurred in connection with a Change in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8.4    </w:t>
      </w:r>
      <w:r>
        <w:rPr>
          <w:rFonts w:ascii="Times New Roman;serif" w:hAnsi="Times New Roman;serif"/>
          <w:b w:val="false"/>
          <w:color w:val="000000"/>
          <w:sz w:val="22"/>
          <w:u w:val="single"/>
        </w:rPr>
        <w:t>Administrative Stand Still</w:t>
      </w:r>
      <w:r>
        <w:rPr>
          <w:rFonts w:ascii="Times New Roman;serif" w:hAnsi="Times New Roman;serif"/>
          <w:b w:val="false"/>
          <w:color w:val="000000"/>
          <w:sz w:val="22"/>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8.5    </w:t>
      </w:r>
      <w:r>
        <w:rPr>
          <w:rFonts w:ascii="Times New Roman;serif" w:hAnsi="Times New Roman;serif"/>
          <w:b w:val="false"/>
          <w:color w:val="000000"/>
          <w:sz w:val="22"/>
          <w:u w:val="single"/>
        </w:rPr>
        <w:t>General</w:t>
      </w:r>
      <w:r>
        <w:rPr>
          <w:rFonts w:ascii="Times New Roman;serif" w:hAnsi="Times New Roman;serif"/>
          <w:b w:val="false"/>
          <w:color w:val="000000"/>
          <w:sz w:val="22"/>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7665"/>
                <wp:effectExtent l="0" t="0" r="0" b="0"/>
                <wp:wrapNone/>
                <wp:docPr id="53" name="Frame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IX.</w:t>
        <w:br/>
        <w:t xml:space="preserve">GENERAL PROVISIONS APPLICABLE TO AWARDS </w:t>
      </w:r>
    </w:p>
    <w:p>
      <w:pPr>
        <w:pStyle w:val="TextBody"/>
        <w:bidi w:val="0"/>
        <w:spacing w:lineRule="auto" w:line="288" w:before="0" w:after="240"/>
        <w:ind w:left="0" w:right="0" w:firstLine="720"/>
        <w:jc w:val="both"/>
        <w:rPr/>
      </w:pPr>
      <w:r>
        <w:rPr>
          <w:rFonts w:ascii="Times New Roman;serif" w:hAnsi="Times New Roman;serif"/>
          <w:b w:val="false"/>
          <w:color w:val="000000"/>
          <w:sz w:val="22"/>
        </w:rPr>
        <w:t>9.1    </w:t>
      </w:r>
      <w:r>
        <w:rPr>
          <w:rFonts w:ascii="Times New Roman;serif" w:hAnsi="Times New Roman;serif"/>
          <w:b w:val="false"/>
          <w:color w:val="000000"/>
          <w:sz w:val="22"/>
          <w:u w:val="single"/>
        </w:rPr>
        <w:t>Transferability</w:t>
      </w:r>
      <w:r>
        <w:rPr>
          <w:rFonts w:ascii="Times New Roman;serif" w:hAnsi="Times New Roman;serif"/>
          <w:b w:val="false"/>
          <w:color w:val="000000"/>
          <w:sz w:val="22"/>
        </w:rPr>
        <w:t>. Except as the Administrator may determine or provide in an Award Agreement or otherwise,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pStyle w:val="TextBody"/>
        <w:bidi w:val="0"/>
        <w:spacing w:lineRule="auto" w:line="288" w:before="0" w:after="240"/>
        <w:ind w:left="0" w:right="0" w:firstLine="720"/>
        <w:jc w:val="both"/>
        <w:rPr/>
      </w:pPr>
      <w:r>
        <w:rPr>
          <w:rFonts w:ascii="Times New Roman;serif" w:hAnsi="Times New Roman;serif"/>
          <w:b w:val="false"/>
          <w:color w:val="000000"/>
          <w:sz w:val="22"/>
        </w:rPr>
        <w:t>9.2    </w:t>
      </w:r>
      <w:r>
        <w:rPr>
          <w:rFonts w:ascii="Times New Roman;serif" w:hAnsi="Times New Roman;serif"/>
          <w:b w:val="false"/>
          <w:color w:val="000000"/>
          <w:sz w:val="22"/>
          <w:u w:val="single"/>
        </w:rPr>
        <w:t>Documentation</w:t>
      </w:r>
      <w:r>
        <w:rPr>
          <w:rFonts w:ascii="Times New Roman;serif" w:hAnsi="Times New Roman;serif"/>
          <w:b w:val="false"/>
          <w:color w:val="000000"/>
          <w:sz w:val="22"/>
        </w:rPr>
        <w:t xml:space="preserve">. Each Award will be evidenced in an Award Agreement, which may be written or electronic, as the Administrator determines. Each Award may contain terms and conditions in addition to those set forth in the Plan. </w:t>
      </w:r>
    </w:p>
    <w:p>
      <w:pPr>
        <w:pStyle w:val="TextBody"/>
        <w:bidi w:val="0"/>
        <w:spacing w:lineRule="auto" w:line="288" w:before="0" w:after="240"/>
        <w:ind w:left="0" w:right="0" w:firstLine="720"/>
        <w:jc w:val="both"/>
        <w:rPr/>
      </w:pPr>
      <w:r>
        <w:rPr>
          <w:rFonts w:ascii="Times New Roman;serif" w:hAnsi="Times New Roman;serif"/>
          <w:b w:val="false"/>
          <w:color w:val="000000"/>
          <w:sz w:val="22"/>
        </w:rPr>
        <w:t>9.3    </w:t>
      </w:r>
      <w:r>
        <w:rPr>
          <w:rFonts w:ascii="Times New Roman;serif" w:hAnsi="Times New Roman;serif"/>
          <w:b w:val="false"/>
          <w:color w:val="000000"/>
          <w:sz w:val="22"/>
          <w:u w:val="single"/>
        </w:rPr>
        <w:t>Discretion</w:t>
      </w:r>
      <w:r>
        <w:rPr>
          <w:rFonts w:ascii="Times New Roman;serif" w:hAnsi="Times New Roman;serif"/>
          <w:b w:val="false"/>
          <w:color w:val="000000"/>
          <w:sz w:val="22"/>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 </w:t>
      </w:r>
    </w:p>
    <w:p>
      <w:pPr>
        <w:pStyle w:val="TextBody"/>
        <w:bidi w:val="0"/>
        <w:spacing w:lineRule="auto" w:line="288" w:before="0" w:after="240"/>
        <w:ind w:left="0" w:right="0" w:firstLine="720"/>
        <w:jc w:val="both"/>
        <w:rPr/>
      </w:pPr>
      <w:r>
        <w:rPr>
          <w:rFonts w:ascii="Times New Roman;serif" w:hAnsi="Times New Roman;serif"/>
          <w:b w:val="false"/>
          <w:color w:val="000000"/>
          <w:sz w:val="22"/>
        </w:rPr>
        <w:t>9.4    </w:t>
      </w:r>
      <w:r>
        <w:rPr>
          <w:rFonts w:ascii="Times New Roman;serif" w:hAnsi="Times New Roman;serif"/>
          <w:b w:val="false"/>
          <w:color w:val="000000"/>
          <w:sz w:val="22"/>
          <w:u w:val="single"/>
        </w:rPr>
        <w:t>Termination of Status</w:t>
      </w:r>
      <w:r>
        <w:rPr>
          <w:rFonts w:ascii="Times New Roman;serif" w:hAnsi="Times New Roman;serif"/>
          <w:b w:val="false"/>
          <w:color w:val="000000"/>
          <w:sz w:val="22"/>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9.5    </w:t>
      </w:r>
      <w:r>
        <w:rPr>
          <w:rFonts w:ascii="Times New Roman;serif" w:hAnsi="Times New Roman;serif"/>
          <w:b w:val="false"/>
          <w:color w:val="000000"/>
          <w:sz w:val="22"/>
          <w:u w:val="single"/>
        </w:rPr>
        <w:t>Withholding</w:t>
      </w:r>
      <w:r>
        <w:rPr>
          <w:rFonts w:ascii="Times New Roman;serif" w:hAnsi="Times New Roman;serif"/>
          <w:b w:val="false"/>
          <w:color w:val="000000"/>
          <w:sz w:val="22"/>
        </w:rPr>
        <w:t xml:space="preserve">.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10.9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7665"/>
                <wp:effectExtent l="0" t="0" r="0" b="0"/>
                <wp:wrapNone/>
                <wp:docPr id="54" name="Frame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 </w:t>
      </w:r>
    </w:p>
    <w:p>
      <w:pPr>
        <w:pStyle w:val="TextBody"/>
        <w:bidi w:val="0"/>
        <w:spacing w:lineRule="auto" w:line="288" w:before="0" w:after="240"/>
        <w:ind w:left="0" w:right="0" w:firstLine="720"/>
        <w:jc w:val="both"/>
        <w:rPr/>
      </w:pPr>
      <w:r>
        <w:rPr>
          <w:rFonts w:ascii="Times New Roman;serif" w:hAnsi="Times New Roman;serif"/>
          <w:b w:val="false"/>
          <w:color w:val="000000"/>
          <w:sz w:val="22"/>
        </w:rPr>
        <w:t>9.6    </w:t>
      </w:r>
      <w:r>
        <w:rPr>
          <w:rFonts w:ascii="Times New Roman;serif" w:hAnsi="Times New Roman;serif"/>
          <w:b w:val="false"/>
          <w:color w:val="000000"/>
          <w:sz w:val="22"/>
          <w:u w:val="single"/>
        </w:rPr>
        <w:t>Amendment of Award; Repricing</w:t>
      </w:r>
      <w:r>
        <w:rPr>
          <w:rFonts w:ascii="Times New Roman;serif" w:hAnsi="Times New Roman;serif"/>
          <w:b w:val="false"/>
          <w:color w:val="000000"/>
          <w:sz w:val="22"/>
        </w:rPr>
        <w:t>. The Administrator may amend, modify or terminate any outstanding Award, including by substituting another Award of the same or a different type or changing the exercise or settlement date. The Participant’s consent to such action will be required unless (i) the action, taking into account any related action, does not materially and adversely affect the Participant’s rights under the Award, or (ii) the change is permitted under Article VIII or pursuant to Section 10.7.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pStyle w:val="TextBody"/>
        <w:bidi w:val="0"/>
        <w:spacing w:lineRule="auto" w:line="288" w:before="0" w:after="240"/>
        <w:ind w:left="0" w:right="0" w:firstLine="720"/>
        <w:jc w:val="both"/>
        <w:rPr/>
      </w:pPr>
      <w:r>
        <w:rPr>
          <w:rFonts w:ascii="Times New Roman;serif" w:hAnsi="Times New Roman;serif"/>
          <w:b w:val="false"/>
          <w:color w:val="000000"/>
          <w:sz w:val="22"/>
        </w:rPr>
        <w:t>9.7    </w:t>
      </w:r>
      <w:r>
        <w:rPr>
          <w:rFonts w:ascii="Times New Roman;serif" w:hAnsi="Times New Roman;serif"/>
          <w:b w:val="false"/>
          <w:color w:val="000000"/>
          <w:sz w:val="22"/>
          <w:u w:val="single"/>
        </w:rPr>
        <w:t>Conditions on Delivery of Stock</w:t>
      </w:r>
      <w:r>
        <w:rPr>
          <w:rFonts w:ascii="Times New Roman;serif" w:hAnsi="Times New Roman;serif"/>
          <w:b w:val="false"/>
          <w:color w:val="000000"/>
          <w:sz w:val="22"/>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pStyle w:val="TextBody"/>
        <w:bidi w:val="0"/>
        <w:spacing w:lineRule="auto" w:line="288" w:before="0" w:after="240"/>
        <w:ind w:left="0" w:right="0" w:firstLine="720"/>
        <w:jc w:val="both"/>
        <w:rPr/>
      </w:pPr>
      <w:r>
        <w:rPr>
          <w:rFonts w:ascii="Times New Roman;serif" w:hAnsi="Times New Roman;serif"/>
          <w:b w:val="false"/>
          <w:color w:val="000000"/>
          <w:sz w:val="22"/>
        </w:rPr>
        <w:t>9.8    </w:t>
      </w:r>
      <w:r>
        <w:rPr>
          <w:rFonts w:ascii="Times New Roman;serif" w:hAnsi="Times New Roman;serif"/>
          <w:b w:val="false"/>
          <w:color w:val="000000"/>
          <w:sz w:val="22"/>
          <w:u w:val="single"/>
        </w:rPr>
        <w:t>Acceleration</w:t>
      </w:r>
      <w:r>
        <w:rPr>
          <w:rFonts w:ascii="Times New Roman;serif" w:hAnsi="Times New Roman;serif"/>
          <w:b w:val="false"/>
          <w:color w:val="000000"/>
          <w:sz w:val="22"/>
        </w:rPr>
        <w:t xml:space="preserve">. The Administrator may at any time provide that any Award will become immediately vested and fully or partially exercisable, free of some or all restrictions or conditions, or otherwise fully or partially realizable. </w:t>
      </w:r>
    </w:p>
    <w:p>
      <w:pPr>
        <w:pStyle w:val="TextBody"/>
        <w:bidi w:val="0"/>
        <w:spacing w:lineRule="auto" w:line="288" w:before="0" w:after="240"/>
        <w:ind w:left="0" w:right="0" w:firstLine="720"/>
        <w:jc w:val="both"/>
        <w:rPr/>
      </w:pPr>
      <w:r>
        <w:rPr>
          <w:rFonts w:ascii="Times New Roman;serif" w:hAnsi="Times New Roman;serif"/>
          <w:b w:val="false"/>
          <w:color w:val="000000"/>
          <w:sz w:val="22"/>
        </w:rPr>
        <w:t>9.9    </w:t>
      </w:r>
      <w:r>
        <w:rPr>
          <w:rFonts w:ascii="Times New Roman;serif" w:hAnsi="Times New Roman;serif"/>
          <w:b w:val="false"/>
          <w:color w:val="000000"/>
          <w:sz w:val="22"/>
          <w:u w:val="single"/>
        </w:rPr>
        <w:t>Action Required Upon Grant of Award</w:t>
      </w:r>
      <w:r>
        <w:rPr>
          <w:rFonts w:ascii="Times New Roman;serif" w:hAnsi="Times New Roman;serif"/>
          <w:b w:val="false"/>
          <w:color w:val="000000"/>
          <w:sz w:val="22"/>
        </w:rPr>
        <w:t>. Promptly following the grant of an Award, the Company shall, in accordance with NASDAQ Rule 5635(c), (a) issue a press release disclosing the material terms of the Award, including the recipient(s) of the Award and the number of Shares involved and (b) provide written notice to the NASDAQ of the grant.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X.</w:t>
        <w:br/>
        <w:t xml:space="preserve">MISCELLANEOUS </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10.1    </w:t>
      </w:r>
      <w:r>
        <w:rPr>
          <w:rFonts w:ascii="Times New Roman;serif" w:hAnsi="Times New Roman;serif"/>
          <w:b w:val="false"/>
          <w:color w:val="000000"/>
          <w:sz w:val="22"/>
          <w:u w:val="single"/>
        </w:rPr>
        <w:t>No Right to Employment or Other Status</w:t>
      </w:r>
      <w:r>
        <w:rPr>
          <w:rFonts w:ascii="Times New Roman;serif" w:hAnsi="Times New Roman;serif"/>
          <w:b w:val="false"/>
          <w:color w:val="000000"/>
          <w:sz w:val="22"/>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10.2    </w:t>
      </w:r>
      <w:r>
        <w:rPr>
          <w:rFonts w:ascii="Times New Roman;serif" w:hAnsi="Times New Roman;serif"/>
          <w:b w:val="false"/>
          <w:color w:val="000000"/>
          <w:sz w:val="22"/>
          <w:u w:val="single"/>
        </w:rPr>
        <w:t>No Rights as Stockholder; Certificates</w:t>
      </w:r>
      <w:r>
        <w:rPr>
          <w:rFonts w:ascii="Times New Roman;serif" w:hAnsi="Times New Roman;serif"/>
          <w:b w:val="false"/>
          <w:color w:val="000000"/>
          <w:sz w:val="22"/>
        </w:rPr>
        <w:t xml:space="preserve">. Subject to the Award Agreement, no Participant or Designated Beneficiary will have any rights as a stockholder with respect to any Shares to be distributed under an Award until becoming the record holder of such Shares. Notwithstanding any other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67665"/>
                <wp:effectExtent l="0" t="0" r="0" b="0"/>
                <wp:wrapNone/>
                <wp:docPr id="55" name="Frame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10.3    </w:t>
      </w:r>
      <w:r>
        <w:rPr>
          <w:rFonts w:ascii="Times New Roman;serif" w:hAnsi="Times New Roman;serif"/>
          <w:b w:val="false"/>
          <w:color w:val="000000"/>
          <w:sz w:val="22"/>
          <w:u w:val="single"/>
        </w:rPr>
        <w:t>Effective Date and Term of Plan</w:t>
      </w:r>
      <w:r>
        <w:rPr>
          <w:rFonts w:ascii="Times New Roman;serif" w:hAnsi="Times New Roman;serif"/>
          <w:b w:val="false"/>
          <w:color w:val="000000"/>
          <w:sz w:val="22"/>
        </w:rPr>
        <w:t>. Unless earlier terminated by the Board, the Plan will become effective on the date it is approved by the Board and will remain in effect until the tenth anniversary of such date, but Awards previously granted may extend beyond that date in accordance with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10.4    </w:t>
      </w:r>
      <w:r>
        <w:rPr>
          <w:rFonts w:ascii="Times New Roman;serif" w:hAnsi="Times New Roman;serif"/>
          <w:b w:val="false"/>
          <w:color w:val="000000"/>
          <w:sz w:val="22"/>
          <w:u w:val="single"/>
        </w:rPr>
        <w:t>Stockholder Approval Not Required</w:t>
      </w:r>
      <w:r>
        <w:rPr>
          <w:rFonts w:ascii="Times New Roman;serif" w:hAnsi="Times New Roman;serif"/>
          <w:b w:val="false"/>
          <w:color w:val="000000"/>
          <w:sz w:val="22"/>
        </w:rPr>
        <w:t>.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(a) the Board, acting through a majority of the Company’s Independent Directors or (b) the independent Compensation Committee of the Board. Accordingly, pursuant to NASDAQ Rule 5635(c)(4), the issuance of Awards and the Shares issuable upon exercise or vesting of such Awards pursuant to the Plan is not subject to the approval of the Company’s stockholders.</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10.5    </w:t>
      </w:r>
      <w:r>
        <w:rPr>
          <w:rFonts w:ascii="Times New Roman;serif" w:hAnsi="Times New Roman;serif"/>
          <w:b w:val="false"/>
          <w:color w:val="000000"/>
          <w:sz w:val="22"/>
          <w:u w:val="single"/>
        </w:rPr>
        <w:t>Amendment of Plan</w:t>
      </w:r>
      <w:r>
        <w:rPr>
          <w:rFonts w:ascii="Times New Roman;serif" w:hAnsi="Times New Roman;serif"/>
          <w:b w:val="false"/>
          <w:color w:val="000000"/>
          <w:sz w:val="22"/>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10.6    </w:t>
      </w:r>
      <w:r>
        <w:rPr>
          <w:rFonts w:ascii="Times New Roman;serif" w:hAnsi="Times New Roman;serif"/>
          <w:b w:val="false"/>
          <w:color w:val="000000"/>
          <w:sz w:val="22"/>
          <w:u w:val="single"/>
        </w:rPr>
        <w:t>Provisions for Foreign Participants</w:t>
      </w:r>
      <w:r>
        <w:rPr>
          <w:rFonts w:ascii="Times New Roman;serif" w:hAnsi="Times New Roman;serif"/>
          <w:b w:val="false"/>
          <w:color w:val="000000"/>
          <w:sz w:val="22"/>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10.7    </w:t>
      </w:r>
      <w:r>
        <w:rPr>
          <w:rFonts w:ascii="Times New Roman;serif" w:hAnsi="Times New Roman;serif"/>
          <w:b w:val="false"/>
          <w:color w:val="000000"/>
          <w:sz w:val="22"/>
          <w:u w:val="single"/>
        </w:rPr>
        <w:t>Section 409A</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7665"/>
                <wp:effectExtent l="0" t="0" r="0" b="0"/>
                <wp:wrapNone/>
                <wp:docPr id="56"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10.7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Separation from Service</w:t>
      </w:r>
      <w:r>
        <w:rPr>
          <w:rFonts w:ascii="Times New Roman;serif" w:hAnsi="Times New Roman;serif"/>
          <w:b w:val="false"/>
          <w:color w:val="000000"/>
          <w:sz w:val="22"/>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Payments to Specified Employees</w:t>
      </w:r>
      <w:r>
        <w:rPr>
          <w:rFonts w:ascii="Times New Roman;serif" w:hAnsi="Times New Roman;serif"/>
          <w:b w:val="false"/>
          <w:color w:val="000000"/>
          <w:sz w:val="22"/>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pStyle w:val="TextBody"/>
        <w:bidi w:val="0"/>
        <w:spacing w:lineRule="auto" w:line="288" w:before="0" w:after="240"/>
        <w:ind w:left="0" w:right="0" w:firstLine="720"/>
        <w:jc w:val="both"/>
        <w:rPr/>
      </w:pPr>
      <w:r>
        <w:rPr>
          <w:rFonts w:ascii="Times New Roman;serif" w:hAnsi="Times New Roman;serif"/>
          <w:b w:val="false"/>
          <w:color w:val="000000"/>
          <w:sz w:val="22"/>
        </w:rPr>
        <w:t>10.8    </w:t>
      </w:r>
      <w:r>
        <w:rPr>
          <w:rFonts w:ascii="Times New Roman;serif" w:hAnsi="Times New Roman;serif"/>
          <w:b w:val="false"/>
          <w:color w:val="000000"/>
          <w:sz w:val="22"/>
          <w:u w:val="single"/>
        </w:rPr>
        <w:t>Limitations on Liability</w:t>
      </w:r>
      <w:r>
        <w:rPr>
          <w:rFonts w:ascii="Times New Roman;serif" w:hAnsi="Times New Roman;serif"/>
          <w:b w:val="false"/>
          <w:color w:val="000000"/>
          <w:sz w:val="22"/>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pStyle w:val="TextBody"/>
        <w:bidi w:val="0"/>
        <w:spacing w:lineRule="auto" w:line="288" w:before="0" w:after="240"/>
        <w:ind w:left="0" w:right="0" w:firstLine="720"/>
        <w:jc w:val="both"/>
        <w:rPr/>
      </w:pPr>
      <w:r>
        <w:rPr>
          <w:rFonts w:ascii="Times New Roman;serif" w:hAnsi="Times New Roman;serif"/>
          <w:b w:val="false"/>
          <w:color w:val="000000"/>
          <w:sz w:val="22"/>
        </w:rPr>
        <w:t>10.9    </w:t>
      </w:r>
      <w:r>
        <w:rPr>
          <w:rFonts w:ascii="Times New Roman;serif" w:hAnsi="Times New Roman;serif"/>
          <w:b w:val="false"/>
          <w:color w:val="000000"/>
          <w:sz w:val="22"/>
          <w:u w:val="single"/>
        </w:rPr>
        <w:t>Lock-Up Period</w:t>
      </w:r>
      <w:r>
        <w:rPr>
          <w:rFonts w:ascii="Times New Roman;serif" w:hAnsi="Times New Roman;serif"/>
          <w:b w:val="false"/>
          <w:color w:val="000000"/>
          <w:sz w:val="22"/>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67665"/>
                <wp:effectExtent l="0" t="0" r="0" b="0"/>
                <wp:wrapNone/>
                <wp:docPr id="57" name="Frame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10.10    </w:t>
      </w:r>
      <w:r>
        <w:rPr>
          <w:rFonts w:ascii="Times New Roman;serif" w:hAnsi="Times New Roman;serif"/>
          <w:b w:val="false"/>
          <w:color w:val="000000"/>
          <w:sz w:val="22"/>
          <w:u w:val="single"/>
        </w:rPr>
        <w:t>Data Privacy</w:t>
      </w:r>
      <w:r>
        <w:rPr>
          <w:rFonts w:ascii="Times New Roman;serif" w:hAnsi="Times New Roman;serif"/>
          <w:b w:val="false"/>
          <w:color w:val="000000"/>
          <w:sz w:val="22"/>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serif" w:hAnsi="Times New Roman;serif"/>
          <w:b/>
          <w:i/>
          <w:color w:val="000000"/>
          <w:sz w:val="22"/>
        </w:rPr>
        <w:t>Data</w:t>
      </w:r>
      <w:r>
        <w:rPr>
          <w:color w:val="000000"/>
        </w:rPr>
        <w:t>”</w:t>
      </w:r>
      <w:r>
        <w:rPr>
          <w:rFonts w:ascii="Times New Roman;serif" w:hAnsi="Times New Roman;serif"/>
          <w:b w:val="false"/>
          <w:color w:val="000000"/>
          <w:sz w:val="22"/>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10.10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10.10. For more information on the consequences of refusing or withdrawing consent, Participants may contact their local human resources representative.</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10.11    </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10.12    </w:t>
      </w:r>
      <w:r>
        <w:rPr>
          <w:rFonts w:ascii="Times New Roman;serif" w:hAnsi="Times New Roman;serif"/>
          <w:b w:val="false"/>
          <w:color w:val="000000"/>
          <w:sz w:val="22"/>
          <w:u w:val="single"/>
        </w:rPr>
        <w:t>Governing Documents</w:t>
      </w:r>
      <w:r>
        <w:rPr>
          <w:rFonts w:ascii="Times New Roman;serif" w:hAnsi="Times New Roman;serif"/>
          <w:b w:val="false"/>
          <w:color w:val="000000"/>
          <w:sz w:val="22"/>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10.13    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The Plan and all Awards will be governed by and interpreted in accordance with the laws of the State of Delaware, disregarding any state’s choice-of-law principles requiring the application of a jurisdiction’s laws other than the State of Delaware.</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10.14    </w:t>
      </w:r>
      <w:r>
        <w:rPr>
          <w:rFonts w:ascii="Times New Roman;serif" w:hAnsi="Times New Roman;serif"/>
          <w:b w:val="false"/>
          <w:color w:val="000000"/>
          <w:sz w:val="22"/>
          <w:u w:val="single"/>
        </w:rPr>
        <w:t>Claw-back Provisions</w:t>
      </w:r>
      <w:r>
        <w:rPr>
          <w:rFonts w:ascii="Times New Roman;serif" w:hAnsi="Times New Roman;serif"/>
          <w:b w:val="false"/>
          <w:color w:val="000000"/>
          <w:sz w:val="22"/>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58" name="Frame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10.15    </w:t>
      </w:r>
      <w:r>
        <w:rPr>
          <w:rFonts w:ascii="Times New Roman;serif" w:hAnsi="Times New Roman;serif"/>
          <w:b w:val="false"/>
          <w:color w:val="000000"/>
          <w:sz w:val="22"/>
          <w:u w:val="single"/>
        </w:rPr>
        <w:t>Titles and Headings</w:t>
      </w:r>
      <w:r>
        <w:rPr>
          <w:rFonts w:ascii="Times New Roman;serif" w:hAnsi="Times New Roman;serif"/>
          <w:b w:val="false"/>
          <w:color w:val="000000"/>
          <w:sz w:val="22"/>
        </w:rPr>
        <w:t>. The titles and headings in the Plan are for convenience of reference only and, if any conflict, the Plan’s text, rather than such titles or headings,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10.16    </w:t>
      </w:r>
      <w:r>
        <w:rPr>
          <w:rFonts w:ascii="Times New Roman;serif" w:hAnsi="Times New Roman;serif"/>
          <w:b w:val="false"/>
          <w:color w:val="000000"/>
          <w:sz w:val="22"/>
          <w:u w:val="single"/>
        </w:rPr>
        <w:t>Conformity to Securities Laws</w:t>
      </w:r>
      <w:r>
        <w:rPr>
          <w:rFonts w:ascii="Times New Roman;serif" w:hAnsi="Times New Roman;serif"/>
          <w:b w:val="false"/>
          <w:color w:val="000000"/>
          <w:sz w:val="22"/>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10.17    </w:t>
      </w:r>
      <w:r>
        <w:rPr>
          <w:rFonts w:ascii="Times New Roman;serif" w:hAnsi="Times New Roman;serif"/>
          <w:b w:val="false"/>
          <w:color w:val="000000"/>
          <w:sz w:val="22"/>
          <w:u w:val="single"/>
        </w:rPr>
        <w:t>Relationship to Other Benefits</w:t>
      </w:r>
      <w:r>
        <w:rPr>
          <w:rFonts w:ascii="Times New Roman;serif" w:hAnsi="Times New Roman;serif"/>
          <w:b w:val="false"/>
          <w:color w:val="000000"/>
          <w:sz w:val="22"/>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10.18    </w:t>
      </w:r>
      <w:r>
        <w:rPr>
          <w:rFonts w:ascii="Times New Roman;serif" w:hAnsi="Times New Roman;serif"/>
          <w:b w:val="false"/>
          <w:color w:val="000000"/>
          <w:sz w:val="22"/>
          <w:u w:val="single"/>
        </w:rPr>
        <w:t>Broker-Assisted Sales</w:t>
      </w:r>
      <w:r>
        <w:rPr>
          <w:rFonts w:ascii="Times New Roman;serif" w:hAnsi="Times New Roman;serif"/>
          <w:b w:val="false"/>
          <w:color w:val="000000"/>
          <w:sz w:val="22"/>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XI.</w:t>
        <w:br/>
        <w:t xml:space="preserve">DEFINITIONS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in the Plan, the following words and phrases will have the following meanings: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    “</w:t>
      </w:r>
      <w:r>
        <w:rPr>
          <w:rFonts w:ascii="Times New Roman;serif" w:hAnsi="Times New Roman;serif"/>
          <w:b/>
          <w:i/>
          <w:color w:val="000000"/>
          <w:sz w:val="22"/>
        </w:rPr>
        <w:t>Administrator</w:t>
      </w:r>
      <w:r>
        <w:rPr>
          <w:color w:val="000000"/>
        </w:rPr>
        <w:t xml:space="preserve">” </w:t>
      </w:r>
      <w:r>
        <w:rPr>
          <w:rFonts w:ascii="Times New Roman;serif" w:hAnsi="Times New Roman;serif"/>
          <w:b w:val="false"/>
          <w:color w:val="000000"/>
          <w:sz w:val="22"/>
        </w:rPr>
        <w:t>means the Board or a Committee to the extent that the Board’s powers or authority under the Plan have been delegated to such Committee.</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    “</w:t>
      </w:r>
      <w:r>
        <w:rPr>
          <w:rFonts w:ascii="Times New Roman;serif" w:hAnsi="Times New Roman;serif"/>
          <w:b/>
          <w:i/>
          <w:color w:val="000000"/>
          <w:sz w:val="22"/>
        </w:rPr>
        <w:t>Applicable Laws</w:t>
      </w:r>
      <w:r>
        <w:rPr>
          <w:color w:val="000000"/>
        </w:rPr>
        <w:t xml:space="preserve">” </w:t>
      </w:r>
      <w:r>
        <w:rPr>
          <w:rFonts w:ascii="Times New Roman;serif" w:hAnsi="Times New Roman;serif"/>
          <w:b w:val="false"/>
          <w:color w:val="000000"/>
          <w:sz w:val="22"/>
        </w:rPr>
        <w:t>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    “</w:t>
      </w:r>
      <w:r>
        <w:rPr>
          <w:rFonts w:ascii="Times New Roman;serif" w:hAnsi="Times New Roman;serif"/>
          <w:b/>
          <w:i/>
          <w:color w:val="000000"/>
          <w:sz w:val="22"/>
        </w:rPr>
        <w:t>Award</w:t>
      </w:r>
      <w:r>
        <w:rPr>
          <w:color w:val="000000"/>
        </w:rPr>
        <w:t xml:space="preserve">” </w:t>
      </w:r>
      <w:r>
        <w:rPr>
          <w:rFonts w:ascii="Times New Roman;serif" w:hAnsi="Times New Roman;serif"/>
          <w:b w:val="false"/>
          <w:color w:val="000000"/>
          <w:sz w:val="22"/>
        </w:rPr>
        <w:t>means, individually or collectively, a grant under the Plan of Options, Stock Appreciation Rights, Restricted Stock, Restricted Stock Units or Other Stock or Cash Based Awards.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11.4    “</w:t>
      </w:r>
      <w:r>
        <w:rPr>
          <w:rFonts w:ascii="Times New Roman;serif" w:hAnsi="Times New Roman;serif"/>
          <w:b/>
          <w:i/>
          <w:color w:val="000000"/>
          <w:sz w:val="22"/>
        </w:rPr>
        <w:t>Award Agreement</w:t>
      </w:r>
      <w:r>
        <w:rPr>
          <w:color w:val="000000"/>
        </w:rPr>
        <w:t xml:space="preserve">” </w:t>
      </w:r>
      <w:r>
        <w:rPr>
          <w:rFonts w:ascii="Times New Roman;serif" w:hAnsi="Times New Roman;serif"/>
          <w:b w:val="false"/>
          <w:color w:val="000000"/>
          <w:sz w:val="22"/>
        </w:rPr>
        <w:t>means a written agreement evidencing an Award, which may be electronic, that contains such terms and conditions as the Administrator determines, consistent with and subject to the terms and conditions of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59" name="Frame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11.5    “</w:t>
      </w:r>
      <w:r>
        <w:rPr>
          <w:rFonts w:ascii="Times New Roman;serif" w:hAnsi="Times New Roman;serif"/>
          <w:b/>
          <w:i/>
          <w:color w:val="000000"/>
          <w:sz w:val="22"/>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11.6    “</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means (i) if a Participant is a party to a written employment or consulting agreement with the Company or any of its Subsidiaries or an Award Agreement in which the term “cause” is defined (a “</w:t>
      </w:r>
      <w:r>
        <w:rPr>
          <w:rFonts w:ascii="Times New Roman;serif" w:hAnsi="Times New Roman;serif"/>
          <w:b/>
          <w:i/>
          <w:color w:val="000000"/>
          <w:sz w:val="22"/>
        </w:rPr>
        <w:t>Relevant Agreement</w:t>
      </w:r>
      <w:r>
        <w:rPr>
          <w:color w:val="000000"/>
        </w:rPr>
        <w:t>”</w:t>
      </w:r>
      <w:r>
        <w:rPr>
          <w:rFonts w:ascii="Times New Roman;serif" w:hAnsi="Times New Roman;serif"/>
          <w:b w:val="false"/>
          <w:color w:val="000000"/>
          <w:sz w:val="22"/>
        </w:rPr>
        <w:t xml:space="preserve">),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11.7    “</w:t>
      </w:r>
      <w:r>
        <w:rPr>
          <w:rFonts w:ascii="Times New Roman;serif" w:hAnsi="Times New Roman;serif"/>
          <w:b/>
          <w:i/>
          <w:color w:val="000000"/>
          <w:sz w:val="22"/>
        </w:rPr>
        <w:t>Change in Control</w:t>
      </w:r>
      <w:r>
        <w:rPr>
          <w:color w:val="000000"/>
        </w:rPr>
        <w:t xml:space="preserve">” </w:t>
      </w:r>
      <w:r>
        <w:rPr>
          <w:rFonts w:ascii="Times New Roman;serif" w:hAnsi="Times New Roman;serif"/>
          <w:b w:val="false"/>
          <w:color w:val="000000"/>
          <w:sz w:val="22"/>
        </w:rPr>
        <w:t xml:space="preserve">means and includes each of the following: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7665"/>
                <wp:effectExtent l="0" t="0" r="0" b="0"/>
                <wp:wrapNone/>
                <wp:docPr id="60" name="Frame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Company’s assets or otherwise succeeds to the business of the Company (the Company or such person, the “</w:t>
      </w:r>
      <w:r>
        <w:rPr>
          <w:rFonts w:ascii="Times New Roman;serif" w:hAnsi="Times New Roman;serif"/>
          <w:b/>
          <w:i/>
          <w:color w:val="000000"/>
          <w:sz w:val="22"/>
        </w:rPr>
        <w:t>Successor Entity</w:t>
      </w:r>
      <w:r>
        <w:rPr>
          <w:color w:val="000000"/>
        </w:rPr>
        <w:t>”</w:t>
      </w:r>
      <w:r>
        <w:rPr>
          <w:rFonts w:ascii="Times New Roman;serif" w:hAnsi="Times New Roman;serif"/>
          <w:b w:val="false"/>
          <w:color w:val="000000"/>
          <w:sz w:val="22"/>
        </w:rPr>
        <w:t>)) directly or indirectly, at least a majority of the combined voting power of the Successor Entity’s outstanding voting securities immediately after the transaction, and</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(ii)    after which no person or group beneficially owns voting securities representing 50% or more of the combined voting power of the Successor Entity;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11.8    “</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means the Internal Revenue Code of 1986, as amended, and the regulations issued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11.9    “</w:t>
      </w:r>
      <w:r>
        <w:rPr>
          <w:rFonts w:ascii="Times New Roman;serif" w:hAnsi="Times New Roman;serif"/>
          <w:b/>
          <w:i/>
          <w:color w:val="000000"/>
          <w:sz w:val="22"/>
        </w:rPr>
        <w:t>Committee</w:t>
      </w:r>
      <w:r>
        <w:rPr>
          <w:color w:val="000000"/>
        </w:rPr>
        <w:t xml:space="preserve">” </w:t>
      </w:r>
      <w:r>
        <w:rPr>
          <w:rFonts w:ascii="Times New Roman;serif" w:hAnsi="Times New Roman;serif"/>
          <w:b w:val="false"/>
          <w:color w:val="000000"/>
          <w:sz w:val="22"/>
        </w:rPr>
        <w:t xml:space="preserve">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 </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11.10    “</w:t>
      </w:r>
      <w:r>
        <w:rPr>
          <w:rFonts w:ascii="Times New Roman;serif" w:hAnsi="Times New Roman;serif"/>
          <w:b/>
          <w:i/>
          <w:color w:val="000000"/>
          <w:sz w:val="22"/>
        </w:rPr>
        <w:t>Common Stock</w:t>
      </w:r>
      <w:r>
        <w:rPr>
          <w:color w:val="000000"/>
        </w:rPr>
        <w:t xml:space="preserve">” </w:t>
      </w:r>
      <w:r>
        <w:rPr>
          <w:rFonts w:ascii="Times New Roman;serif" w:hAnsi="Times New Roman;serif"/>
          <w:b w:val="false"/>
          <w:color w:val="000000"/>
          <w:sz w:val="22"/>
        </w:rPr>
        <w:t xml:space="preserve">means the common stock of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11.11    “</w:t>
      </w:r>
      <w:r>
        <w:rPr>
          <w:rFonts w:ascii="Times New Roman;serif" w:hAnsi="Times New Roman;serif"/>
          <w:b/>
          <w:i/>
          <w:color w:val="000000"/>
          <w:sz w:val="22"/>
        </w:rPr>
        <w:t>Company</w:t>
      </w:r>
      <w:r>
        <w:rPr>
          <w:color w:val="000000"/>
        </w:rPr>
        <w:t xml:space="preserve">” </w:t>
      </w:r>
      <w:r>
        <w:rPr>
          <w:rFonts w:ascii="Times New Roman;serif" w:hAnsi="Times New Roman;serif"/>
          <w:b w:val="false"/>
          <w:color w:val="000000"/>
          <w:sz w:val="22"/>
        </w:rPr>
        <w:t>means Cartesian Therapeutics, Inc., a Delaware corporation, or any successor.</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11.12     “</w:t>
      </w:r>
      <w:r>
        <w:rPr>
          <w:rFonts w:ascii="Times New Roman;serif" w:hAnsi="Times New Roman;serif"/>
          <w:b/>
          <w:i/>
          <w:color w:val="000000"/>
          <w:sz w:val="22"/>
        </w:rPr>
        <w:t>Consultant</w:t>
      </w:r>
      <w:r>
        <w:rPr>
          <w:color w:val="000000"/>
        </w:rPr>
        <w:t xml:space="preserve">” </w:t>
      </w:r>
      <w:r>
        <w:rPr>
          <w:rFonts w:ascii="Times New Roman;serif" w:hAnsi="Times New Roman;serif"/>
          <w:b w:val="false"/>
          <w:color w:val="000000"/>
          <w:sz w:val="22"/>
        </w:rPr>
        <w:t>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11.13    “</w:t>
      </w:r>
      <w:r>
        <w:rPr>
          <w:rFonts w:ascii="Times New Roman;serif" w:hAnsi="Times New Roman;serif"/>
          <w:b/>
          <w:i/>
          <w:color w:val="000000"/>
          <w:sz w:val="22"/>
        </w:rPr>
        <w:t>Designated Beneficiary</w:t>
      </w:r>
      <w:r>
        <w:rPr>
          <w:color w:val="000000"/>
        </w:rPr>
        <w:t xml:space="preserve">” </w:t>
      </w:r>
      <w:r>
        <w:rPr>
          <w:rFonts w:ascii="Times New Roman;serif" w:hAnsi="Times New Roman;serif"/>
          <w:b w:val="false"/>
          <w:color w:val="000000"/>
          <w:sz w:val="22"/>
        </w:rPr>
        <w:t xml:space="preserve">means the beneficiary or beneficiaries the Participant designates, in a manner the Administrator determines, to receive amounts due or exercise the Participant’s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67665"/>
                <wp:effectExtent l="0" t="0" r="0" b="0"/>
                <wp:wrapNone/>
                <wp:docPr id="61" name="Frame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rights if the Participant dies or becomes incapacitated. Without a Participant’s effective designation, “Designated Beneficiary” will mean the Participant’s estate.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11.14    “</w:t>
      </w:r>
      <w:r>
        <w:rPr>
          <w:rFonts w:ascii="Times New Roman;serif" w:hAnsi="Times New Roman;serif"/>
          <w:b/>
          <w:i/>
          <w:color w:val="000000"/>
          <w:sz w:val="22"/>
        </w:rPr>
        <w:t>Director</w:t>
      </w:r>
      <w:r>
        <w:rPr>
          <w:color w:val="000000"/>
        </w:rPr>
        <w:t xml:space="preserve">” </w:t>
      </w:r>
      <w:r>
        <w:rPr>
          <w:rFonts w:ascii="Times New Roman;serif" w:hAnsi="Times New Roman;serif"/>
          <w:b w:val="false"/>
          <w:color w:val="000000"/>
          <w:sz w:val="22"/>
        </w:rPr>
        <w:t>means a Board member.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11.15    “</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means a permanent and total disability under Section 22(e)(3) of the Code, as amended.</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11.16    “</w:t>
      </w:r>
      <w:r>
        <w:rPr>
          <w:rFonts w:ascii="Times New Roman;serif" w:hAnsi="Times New Roman;serif"/>
          <w:b/>
          <w:i/>
          <w:color w:val="000000"/>
          <w:sz w:val="22"/>
        </w:rPr>
        <w:t>Dividend Equivalents</w:t>
      </w:r>
      <w:r>
        <w:rPr>
          <w:color w:val="000000"/>
        </w:rPr>
        <w:t xml:space="preserve">” </w:t>
      </w:r>
      <w:r>
        <w:rPr>
          <w:rFonts w:ascii="Times New Roman;serif" w:hAnsi="Times New Roman;serif"/>
          <w:b w:val="false"/>
          <w:color w:val="000000"/>
          <w:sz w:val="22"/>
        </w:rPr>
        <w:t>means a right granted to a Participant under the Plan to receive the equivalent value (in cash or Shares) of dividends paid on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11.17    “</w:t>
      </w:r>
      <w:r>
        <w:rPr>
          <w:rFonts w:ascii="Times New Roman;serif" w:hAnsi="Times New Roman;serif"/>
          <w:b/>
          <w:i/>
          <w:color w:val="000000"/>
          <w:sz w:val="22"/>
        </w:rPr>
        <w:t>Eligible Individual</w:t>
      </w:r>
      <w:r>
        <w:rPr>
          <w:color w:val="000000"/>
        </w:rPr>
        <w:t xml:space="preserve">” </w:t>
      </w:r>
      <w:r>
        <w:rPr>
          <w:rFonts w:ascii="Times New Roman;serif" w:hAnsi="Times New Roman;serif"/>
          <w:b w:val="false"/>
          <w:color w:val="000000"/>
          <w:sz w:val="22"/>
        </w:rPr>
        <w:t>means any individual who was not previously an Employee or Director hired as a new Employee or rehired as an Employee following a bona fide period of interruption of employment if such person is granted an Award as a material inducement to his or her entering into employment with the Company or a Subsidiary (within the meaning of the NASDAQ Rule 5635(c)(4)).</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11.18    “</w:t>
      </w:r>
      <w:r>
        <w:rPr>
          <w:rFonts w:ascii="Times New Roman;serif" w:hAnsi="Times New Roman;serif"/>
          <w:b/>
          <w:i/>
          <w:color w:val="000000"/>
          <w:sz w:val="22"/>
        </w:rPr>
        <w:t>Employee</w:t>
      </w:r>
      <w:r>
        <w:rPr>
          <w:color w:val="000000"/>
        </w:rPr>
        <w:t xml:space="preserve">” </w:t>
      </w:r>
      <w:r>
        <w:rPr>
          <w:rFonts w:ascii="Times New Roman;serif" w:hAnsi="Times New Roman;serif"/>
          <w:b w:val="false"/>
          <w:color w:val="000000"/>
          <w:sz w:val="22"/>
        </w:rPr>
        <w:t>means any employee of the Company or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11.19    “</w:t>
      </w:r>
      <w:r>
        <w:rPr>
          <w:rFonts w:ascii="Times New Roman;serif" w:hAnsi="Times New Roman;serif"/>
          <w:b/>
          <w:i/>
          <w:color w:val="000000"/>
          <w:sz w:val="22"/>
        </w:rPr>
        <w:t>Equity Restructuring</w:t>
      </w:r>
      <w:r>
        <w:rPr>
          <w:color w:val="000000"/>
        </w:rPr>
        <w:t xml:space="preserve">” </w:t>
      </w:r>
      <w:r>
        <w:rPr>
          <w:rFonts w:ascii="Times New Roman;serif" w:hAnsi="Times New Roman;serif"/>
          <w:b w:val="false"/>
          <w:color w:val="000000"/>
          <w:sz w:val="22"/>
        </w:rPr>
        <w:t>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11.20    “</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11.21    “</w:t>
      </w:r>
      <w:r>
        <w:rPr>
          <w:rFonts w:ascii="Times New Roman;serif" w:hAnsi="Times New Roman;serif"/>
          <w:b/>
          <w:i/>
          <w:color w:val="000000"/>
          <w:sz w:val="22"/>
        </w:rPr>
        <w:t>Fair Market Value</w:t>
      </w:r>
      <w:r>
        <w:rPr>
          <w:color w:val="000000"/>
        </w:rPr>
        <w:t xml:space="preserve">” </w:t>
      </w:r>
      <w:r>
        <w:rPr>
          <w:rFonts w:ascii="Times New Roman;serif" w:hAnsi="Times New Roman;serif"/>
          <w:b w:val="false"/>
          <w:color w:val="000000"/>
          <w:sz w:val="22"/>
        </w:rPr>
        <w:t xml:space="preserve">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11.22    “</w:t>
      </w:r>
      <w:r>
        <w:rPr>
          <w:rFonts w:ascii="Times New Roman;serif" w:hAnsi="Times New Roman;serif"/>
          <w:b/>
          <w:i/>
          <w:color w:val="000000"/>
          <w:sz w:val="22"/>
        </w:rPr>
        <w:t>Incentive Stock Option</w:t>
      </w:r>
      <w:r>
        <w:rPr>
          <w:color w:val="000000"/>
        </w:rPr>
        <w:t xml:space="preserve">” </w:t>
      </w:r>
      <w:r>
        <w:rPr>
          <w:rFonts w:ascii="Times New Roman;serif" w:hAnsi="Times New Roman;serif"/>
          <w:b w:val="false"/>
          <w:color w:val="000000"/>
          <w:sz w:val="22"/>
        </w:rPr>
        <w:t>means an Option intended to qualify as an “incentive stock option” as defined in Section 422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11.23    “</w:t>
      </w:r>
      <w:r>
        <w:rPr>
          <w:rFonts w:ascii="Times New Roman;serif" w:hAnsi="Times New Roman;serif"/>
          <w:b/>
          <w:i/>
          <w:color w:val="000000"/>
          <w:sz w:val="22"/>
        </w:rPr>
        <w:t>Independent Director</w:t>
      </w:r>
      <w:r>
        <w:rPr>
          <w:color w:val="000000"/>
        </w:rPr>
        <w:t xml:space="preserve">” </w:t>
      </w:r>
      <w:r>
        <w:rPr>
          <w:rFonts w:ascii="Times New Roman;serif" w:hAnsi="Times New Roman;serif"/>
          <w:b w:val="false"/>
          <w:color w:val="000000"/>
          <w:sz w:val="22"/>
        </w:rPr>
        <w:t>means a Director who qualifies as “independent” within the meaning of NASDAQ Rule 5635(c)(4), or any successor rule, as such rule may be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11.24    “</w:t>
      </w:r>
      <w:r>
        <w:rPr>
          <w:rFonts w:ascii="Times New Roman;serif" w:hAnsi="Times New Roman;serif"/>
          <w:b/>
          <w:i/>
          <w:color w:val="000000"/>
          <w:sz w:val="22"/>
        </w:rPr>
        <w:t>NASDAQ Rule 5635(c)(4)</w:t>
      </w:r>
      <w:r>
        <w:rPr>
          <w:color w:val="000000"/>
        </w:rPr>
        <w:t xml:space="preserve">” </w:t>
      </w:r>
      <w:r>
        <w:rPr>
          <w:rFonts w:ascii="Times New Roman;serif" w:hAnsi="Times New Roman;serif"/>
          <w:b w:val="false"/>
          <w:color w:val="000000"/>
          <w:sz w:val="22"/>
        </w:rPr>
        <w:t>means NASDAQ Rule 5635(c)(4), or any successor rule, and all guidance and other interpretative authority thereunder, as such rule, guidance and other authority may be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11.25    “</w:t>
      </w:r>
      <w:r>
        <w:rPr>
          <w:rFonts w:ascii="Times New Roman;serif" w:hAnsi="Times New Roman;serif"/>
          <w:b/>
          <w:i/>
          <w:color w:val="000000"/>
          <w:sz w:val="22"/>
        </w:rPr>
        <w:t>Non-Qualified Stock Option</w:t>
      </w:r>
      <w:r>
        <w:rPr>
          <w:color w:val="000000"/>
        </w:rPr>
        <w:t xml:space="preserve">” </w:t>
      </w:r>
      <w:r>
        <w:rPr>
          <w:rFonts w:ascii="Times New Roman;serif" w:hAnsi="Times New Roman;serif"/>
          <w:b w:val="false"/>
          <w:color w:val="000000"/>
          <w:sz w:val="22"/>
        </w:rPr>
        <w:t>means an Option not intended to qualify as an Incentive Stock Option.</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7665"/>
                <wp:effectExtent l="0" t="0" r="0" b="0"/>
                <wp:wrapNone/>
                <wp:docPr id="62" name="Frame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11.26    “</w:t>
      </w:r>
      <w:r>
        <w:rPr>
          <w:rFonts w:ascii="Times New Roman;serif" w:hAnsi="Times New Roman;serif"/>
          <w:b/>
          <w:i/>
          <w:color w:val="000000"/>
          <w:sz w:val="22"/>
        </w:rPr>
        <w:t>Option</w:t>
      </w:r>
      <w:r>
        <w:rPr>
          <w:color w:val="000000"/>
        </w:rPr>
        <w:t xml:space="preserve">” </w:t>
      </w:r>
      <w:r>
        <w:rPr>
          <w:rFonts w:ascii="Times New Roman;serif" w:hAnsi="Times New Roman;serif"/>
          <w:b w:val="false"/>
          <w:color w:val="000000"/>
          <w:sz w:val="22"/>
        </w:rPr>
        <w:t>means an option to purchase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11.27    “</w:t>
      </w:r>
      <w:r>
        <w:rPr>
          <w:rFonts w:ascii="Times New Roman;serif" w:hAnsi="Times New Roman;serif"/>
          <w:b/>
          <w:i/>
          <w:color w:val="000000"/>
          <w:sz w:val="22"/>
        </w:rPr>
        <w:t>Other Stock or Cash Based Awards</w:t>
      </w:r>
      <w:r>
        <w:rPr>
          <w:color w:val="000000"/>
        </w:rPr>
        <w:t xml:space="preserve">” </w:t>
      </w:r>
      <w:r>
        <w:rPr>
          <w:rFonts w:ascii="Times New Roman;serif" w:hAnsi="Times New Roman;serif"/>
          <w:b w:val="false"/>
          <w:color w:val="000000"/>
          <w:sz w:val="22"/>
        </w:rPr>
        <w:t>means cash awards, awards of Shares, and other awards valued wholly or partially by referring to, or are otherwise based on, Shares or other property.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11.28    “</w:t>
      </w:r>
      <w:r>
        <w:rPr>
          <w:rFonts w:ascii="Times New Roman;serif" w:hAnsi="Times New Roman;serif"/>
          <w:b/>
          <w:i/>
          <w:color w:val="000000"/>
          <w:sz w:val="22"/>
        </w:rPr>
        <w:t>Overall Share Limit</w:t>
      </w:r>
      <w:r>
        <w:rPr>
          <w:color w:val="000000"/>
        </w:rPr>
        <w:t xml:space="preserve">” </w:t>
      </w:r>
      <w:r>
        <w:rPr>
          <w:rFonts w:ascii="Times New Roman;serif" w:hAnsi="Times New Roman;serif"/>
          <w:b w:val="false"/>
          <w:color w:val="000000"/>
          <w:sz w:val="22"/>
        </w:rPr>
        <w:t>means 1,726,666.</w:t>
      </w:r>
    </w:p>
    <w:p>
      <w:pPr>
        <w:pStyle w:val="TextBody"/>
        <w:bidi w:val="0"/>
        <w:spacing w:lineRule="auto" w:line="288" w:before="0" w:after="240"/>
        <w:ind w:left="0" w:right="0" w:firstLine="720"/>
        <w:jc w:val="both"/>
        <w:rPr/>
      </w:pPr>
      <w:r>
        <w:rPr>
          <w:rFonts w:ascii="Times New Roman;serif" w:hAnsi="Times New Roman;serif"/>
          <w:b w:val="false"/>
          <w:color w:val="000000"/>
          <w:sz w:val="22"/>
        </w:rPr>
        <w:t>11.29     “</w:t>
      </w:r>
      <w:r>
        <w:rPr>
          <w:rFonts w:ascii="Times New Roman;serif" w:hAnsi="Times New Roman;serif"/>
          <w:b/>
          <w:i/>
          <w:color w:val="000000"/>
          <w:sz w:val="22"/>
        </w:rPr>
        <w:t>Participant</w:t>
      </w:r>
      <w:r>
        <w:rPr>
          <w:color w:val="000000"/>
        </w:rPr>
        <w:t xml:space="preserve">” </w:t>
      </w:r>
      <w:r>
        <w:rPr>
          <w:rFonts w:ascii="Times New Roman;serif" w:hAnsi="Times New Roman;serif"/>
          <w:b w:val="false"/>
          <w:color w:val="000000"/>
          <w:sz w:val="22"/>
        </w:rPr>
        <w:t>means an Eligible Individual who has been granted an Award.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11.30    “</w:t>
      </w:r>
      <w:r>
        <w:rPr>
          <w:rFonts w:ascii="Times New Roman;serif" w:hAnsi="Times New Roman;serif"/>
          <w:b/>
          <w:i/>
          <w:color w:val="000000"/>
          <w:sz w:val="22"/>
        </w:rPr>
        <w:t>Performance Criteria</w:t>
      </w:r>
      <w:r>
        <w:rPr>
          <w:color w:val="000000"/>
        </w:rPr>
        <w:t xml:space="preserve">” </w:t>
      </w:r>
      <w:r>
        <w:rPr>
          <w:rFonts w:ascii="Times New Roman;serif" w:hAnsi="Times New Roman;serif"/>
          <w:b w:val="false"/>
          <w:color w:val="000000"/>
          <w:sz w:val="22"/>
        </w:rPr>
        <w:t>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11.31    “</w:t>
      </w:r>
      <w:r>
        <w:rPr>
          <w:rFonts w:ascii="Times New Roman;serif" w:hAnsi="Times New Roman;serif"/>
          <w:b/>
          <w:i/>
          <w:color w:val="000000"/>
          <w:sz w:val="22"/>
        </w:rPr>
        <w:t>Plan</w:t>
      </w:r>
      <w:r>
        <w:rPr>
          <w:color w:val="000000"/>
        </w:rPr>
        <w:t xml:space="preserve">” </w:t>
      </w:r>
      <w:r>
        <w:rPr>
          <w:rFonts w:ascii="Times New Roman;serif" w:hAnsi="Times New Roman;serif"/>
          <w:b w:val="false"/>
          <w:color w:val="000000"/>
          <w:sz w:val="22"/>
        </w:rPr>
        <w:t>means this 2018 Employment Inducement Incentive Award Plan.</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67665"/>
                <wp:effectExtent l="0" t="0" r="0" b="0"/>
                <wp:wrapNone/>
                <wp:docPr id="63" name="Frame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11.32    “</w:t>
      </w:r>
      <w:r>
        <w:rPr>
          <w:rFonts w:ascii="Times New Roman;serif" w:hAnsi="Times New Roman;serif"/>
          <w:b/>
          <w:i/>
          <w:color w:val="000000"/>
          <w:sz w:val="22"/>
        </w:rPr>
        <w:t>Restricted Stock</w:t>
      </w:r>
      <w:r>
        <w:rPr>
          <w:color w:val="000000"/>
        </w:rPr>
        <w:t xml:space="preserve">” </w:t>
      </w:r>
      <w:r>
        <w:rPr>
          <w:rFonts w:ascii="Times New Roman;serif" w:hAnsi="Times New Roman;serif"/>
          <w:b w:val="false"/>
          <w:color w:val="000000"/>
          <w:sz w:val="22"/>
        </w:rPr>
        <w:t>means Shares awarded to a Participant under Article VI subject to certain vesting conditions and other restrictions.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11.33    “</w:t>
      </w:r>
      <w:r>
        <w:rPr>
          <w:rFonts w:ascii="Times New Roman;serif" w:hAnsi="Times New Roman;serif"/>
          <w:b/>
          <w:i/>
          <w:color w:val="000000"/>
          <w:sz w:val="22"/>
        </w:rPr>
        <w:t>Restricted Stock Unit</w:t>
      </w:r>
      <w:r>
        <w:rPr>
          <w:color w:val="000000"/>
        </w:rPr>
        <w:t xml:space="preserve">” </w:t>
      </w:r>
      <w:r>
        <w:rPr>
          <w:rFonts w:ascii="Times New Roman;serif" w:hAnsi="Times New Roman;serif"/>
          <w:b w:val="false"/>
          <w:color w:val="000000"/>
          <w:sz w:val="22"/>
        </w:rPr>
        <w:t>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11.34    “</w:t>
      </w:r>
      <w:r>
        <w:rPr>
          <w:rFonts w:ascii="Times New Roman;serif" w:hAnsi="Times New Roman;serif"/>
          <w:b/>
          <w:i/>
          <w:color w:val="000000"/>
          <w:sz w:val="22"/>
        </w:rPr>
        <w:t>Rule 16b-3</w:t>
      </w:r>
      <w:r>
        <w:rPr>
          <w:color w:val="000000"/>
        </w:rPr>
        <w:t xml:space="preserve">” </w:t>
      </w:r>
      <w:r>
        <w:rPr>
          <w:rFonts w:ascii="Times New Roman;serif" w:hAnsi="Times New Roman;serif"/>
          <w:b w:val="false"/>
          <w:color w:val="000000"/>
          <w:sz w:val="22"/>
        </w:rPr>
        <w:t>means Rule 16b-3 promulgated under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11.35    “</w:t>
      </w:r>
      <w:r>
        <w:rPr>
          <w:rFonts w:ascii="Times New Roman;serif" w:hAnsi="Times New Roman;serif"/>
          <w:b/>
          <w:i/>
          <w:color w:val="000000"/>
          <w:sz w:val="22"/>
        </w:rPr>
        <w:t>Section 409A</w:t>
      </w:r>
      <w:r>
        <w:rPr>
          <w:color w:val="000000"/>
        </w:rPr>
        <w:t xml:space="preserve">” </w:t>
      </w:r>
      <w:r>
        <w:rPr>
          <w:rFonts w:ascii="Times New Roman;serif" w:hAnsi="Times New Roman;serif"/>
          <w:b w:val="false"/>
          <w:color w:val="000000"/>
          <w:sz w:val="22"/>
        </w:rPr>
        <w:t>means Section 409A of the Code and all regulations, guidance, compliance programs and other interpretative authority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11.36    “</w:t>
      </w:r>
      <w:r>
        <w:rPr>
          <w:rFonts w:ascii="Times New Roman;serif" w:hAnsi="Times New Roman;serif"/>
          <w:b/>
          <w:i/>
          <w:color w:val="000000"/>
          <w:sz w:val="22"/>
        </w:rPr>
        <w:t>Securities Act</w:t>
      </w:r>
      <w:r>
        <w:rPr>
          <w:color w:val="000000"/>
        </w:rPr>
        <w:t xml:space="preserve">” </w:t>
      </w:r>
      <w:r>
        <w:rPr>
          <w:rFonts w:ascii="Times New Roman;serif" w:hAnsi="Times New Roman;serif"/>
          <w:b w:val="false"/>
          <w:color w:val="000000"/>
          <w:sz w:val="22"/>
        </w:rPr>
        <w:t>means the Securities Act of 1933, as amended.</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11.37    “</w:t>
      </w:r>
      <w:r>
        <w:rPr>
          <w:rFonts w:ascii="Times New Roman;serif" w:hAnsi="Times New Roman;serif"/>
          <w:b/>
          <w:i/>
          <w:color w:val="000000"/>
          <w:sz w:val="22"/>
        </w:rPr>
        <w:t>Service Provider</w:t>
      </w:r>
      <w:r>
        <w:rPr>
          <w:color w:val="000000"/>
        </w:rPr>
        <w:t xml:space="preserve">” </w:t>
      </w:r>
      <w:r>
        <w:rPr>
          <w:rFonts w:ascii="Times New Roman;serif" w:hAnsi="Times New Roman;serif"/>
          <w:b w:val="false"/>
          <w:color w:val="000000"/>
          <w:sz w:val="22"/>
        </w:rPr>
        <w:t>means an Employee, Consultant or Director.</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11.38    “</w:t>
      </w:r>
      <w:r>
        <w:rPr>
          <w:rFonts w:ascii="Times New Roman;serif" w:hAnsi="Times New Roman;serif"/>
          <w:b/>
          <w:i/>
          <w:color w:val="000000"/>
          <w:sz w:val="22"/>
        </w:rPr>
        <w:t>Shares</w:t>
      </w:r>
      <w:r>
        <w:rPr>
          <w:color w:val="000000"/>
        </w:rPr>
        <w:t xml:space="preserve">” </w:t>
      </w:r>
      <w:r>
        <w:rPr>
          <w:rFonts w:ascii="Times New Roman;serif" w:hAnsi="Times New Roman;serif"/>
          <w:b w:val="false"/>
          <w:color w:val="000000"/>
          <w:sz w:val="22"/>
        </w:rPr>
        <w:t>means shares of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2"/>
        </w:rPr>
        <w:t>11.39    “</w:t>
      </w:r>
      <w:r>
        <w:rPr>
          <w:rFonts w:ascii="Times New Roman;serif" w:hAnsi="Times New Roman;serif"/>
          <w:b/>
          <w:i/>
          <w:color w:val="000000"/>
          <w:sz w:val="22"/>
        </w:rPr>
        <w:t>Stock Appreciation Right</w:t>
      </w:r>
      <w:r>
        <w:rPr>
          <w:color w:val="000000"/>
        </w:rPr>
        <w:t xml:space="preserve">” </w:t>
      </w:r>
      <w:r>
        <w:rPr>
          <w:rFonts w:ascii="Times New Roman;serif" w:hAnsi="Times New Roman;serif"/>
          <w:b w:val="false"/>
          <w:color w:val="000000"/>
          <w:sz w:val="22"/>
        </w:rPr>
        <w:t>means a stock appreciation right granted under Article V.</w:t>
      </w:r>
    </w:p>
    <w:p>
      <w:pPr>
        <w:pStyle w:val="TextBody"/>
        <w:bidi w:val="0"/>
        <w:spacing w:lineRule="auto" w:line="288" w:before="0" w:after="240"/>
        <w:ind w:left="0" w:right="0" w:firstLine="720"/>
        <w:jc w:val="both"/>
        <w:rPr/>
      </w:pPr>
      <w:r>
        <w:rPr>
          <w:rFonts w:ascii="Times New Roman;serif" w:hAnsi="Times New Roman;serif"/>
          <w:b w:val="false"/>
          <w:color w:val="000000"/>
          <w:sz w:val="22"/>
        </w:rPr>
        <w:t>11.40    “</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bidi w:val="0"/>
        <w:spacing w:lineRule="auto" w:line="288" w:before="0" w:after="240"/>
        <w:ind w:left="0" w:right="0" w:firstLine="720"/>
        <w:jc w:val="both"/>
        <w:rPr/>
      </w:pPr>
      <w:r>
        <w:rPr>
          <w:rFonts w:ascii="Times New Roman;serif" w:hAnsi="Times New Roman;serif"/>
          <w:b w:val="false"/>
          <w:color w:val="000000"/>
          <w:sz w:val="22"/>
        </w:rPr>
        <w:t>11.41    “</w:t>
      </w:r>
      <w:r>
        <w:rPr>
          <w:rFonts w:ascii="Times New Roman;serif" w:hAnsi="Times New Roman;serif"/>
          <w:b/>
          <w:i/>
          <w:color w:val="000000"/>
          <w:sz w:val="22"/>
        </w:rPr>
        <w:t>Termination of Service</w:t>
      </w:r>
      <w:r>
        <w:rPr>
          <w:color w:val="000000"/>
        </w:rPr>
        <w:t xml:space="preserve">” </w:t>
      </w:r>
      <w:r>
        <w:rPr>
          <w:rFonts w:ascii="Times New Roman;serif" w:hAnsi="Times New Roman;serif"/>
          <w:b w:val="false"/>
          <w:color w:val="000000"/>
          <w:sz w:val="22"/>
        </w:rPr>
        <w:t>means the date the Participant ceases to be a Service Provider.</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7665"/>
                <wp:effectExtent l="0" t="0" r="0" b="0"/>
                <wp:wrapNone/>
                <wp:docPr id="64" name="Frame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both"/>
                        <w:rPr/>
                      </w:pPr>
                      <w:r>
                        <w:rPr/>
                      </w:r>
                    </w:p>
                  </w:txbxContent>
                </v:textbox>
                <w10:wrap type="none"/>
              </v:rect>
            </w:pict>
          </mc:Fallback>
        </mc:AlternateContent>
      </w:r>
    </w:p>
    <w:tbl>
      <w:tblPr>
        <w:tblW w:w="10034" w:type="dxa"/>
        <w:jc w:val="left"/>
        <w:tblInd w:w="0" w:type="dxa"/>
        <w:tblLayout w:type="fixed"/>
        <w:tblCellMar>
          <w:top w:w="28" w:type="dxa"/>
          <w:left w:w="28" w:type="dxa"/>
          <w:bottom w:w="28" w:type="dxa"/>
          <w:right w:w="28" w:type="dxa"/>
        </w:tblCellMar>
      </w:tblPr>
      <w:tblGrid>
        <w:gridCol w:w="3213"/>
        <w:gridCol w:w="2824"/>
        <w:gridCol w:w="3997"/>
      </w:tblGrid>
      <w:tr>
        <w:trPr/>
        <w:tc>
          <w:tcPr>
            <w:tcW w:w="3213"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3997" w:type="dxa"/>
            <w:tcBorders/>
            <w:vAlign w:val="center"/>
          </w:tcPr>
          <w:p>
            <w:pPr>
              <w:pStyle w:val="TableContents"/>
              <w:bidi w:val="0"/>
              <w:spacing w:before="0" w:after="283"/>
              <w:jc w:val="left"/>
              <w:rPr>
                <w:sz w:val="4"/>
                <w:szCs w:val="4"/>
              </w:rPr>
            </w:pPr>
            <w:r>
              <w:rPr>
                <w:sz w:val="4"/>
                <w:szCs w:val="4"/>
              </w:rPr>
            </w:r>
          </w:p>
        </w:tc>
      </w:tr>
      <w:tr>
        <w:trPr/>
        <w:tc>
          <w:tcPr>
            <w:tcW w:w="100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CARTESIAN THERAPEUTICS, INC.</w:t>
              <w:br/>
              <w:t>AMENDED AND RESTATED 2018 EMPLOYMENT INDUCEMENT INCENTIVE AWARD PLAN</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Capitalized terms not specifically defined in this Restricted Stock Unit Grant Notice (the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have the meanings given to them in the Amended and Restated 2018 Employment Inducement Incentive Award Plan (as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of Cartesian Therapeutics,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Company has granted to the participant listed below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the Restricted Stock Units described in this Grant Notice (the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xml:space="preserve">), subject to the terms and conditions of the Plan and the Restricted Stock Unit Agreement attached as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both of which are incorporated into this Grant Notice by reference. </w:t>
      </w:r>
    </w:p>
    <w:tbl>
      <w:tblPr>
        <w:tblW w:w="7813" w:type="dxa"/>
        <w:jc w:val="left"/>
        <w:tblInd w:w="0" w:type="dxa"/>
        <w:tblLayout w:type="fixed"/>
        <w:tblCellMar>
          <w:top w:w="28" w:type="dxa"/>
          <w:left w:w="28" w:type="dxa"/>
          <w:bottom w:w="28" w:type="dxa"/>
          <w:right w:w="28" w:type="dxa"/>
        </w:tblCellMar>
      </w:tblPr>
      <w:tblGrid>
        <w:gridCol w:w="1113"/>
        <w:gridCol w:w="978"/>
        <w:gridCol w:w="983"/>
        <w:gridCol w:w="1387"/>
        <w:gridCol w:w="1387"/>
        <w:gridCol w:w="1965"/>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Participant:</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Grant Date:</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Number of RSUs:</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Vesting Commencement Date:</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Vesting Schedule:</w:t>
            </w:r>
          </w:p>
        </w:tc>
        <w:tc>
          <w:tcPr>
            <w:tcW w:w="473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[To be specified in individual award agreements]</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tbl>
      <w:tblPr>
        <w:tblW w:w="5801" w:type="dxa"/>
        <w:jc w:val="left"/>
        <w:tblInd w:w="0" w:type="dxa"/>
        <w:tblLayout w:type="fixed"/>
        <w:tblCellMar>
          <w:top w:w="28" w:type="dxa"/>
          <w:left w:w="28" w:type="dxa"/>
          <w:bottom w:w="28" w:type="dxa"/>
          <w:right w:w="28" w:type="dxa"/>
        </w:tblCellMar>
      </w:tblPr>
      <w:tblGrid>
        <w:gridCol w:w="722"/>
        <w:gridCol w:w="634"/>
        <w:gridCol w:w="634"/>
        <w:gridCol w:w="634"/>
        <w:gridCol w:w="634"/>
        <w:gridCol w:w="638"/>
        <w:gridCol w:w="297"/>
        <w:gridCol w:w="297"/>
        <w:gridCol w:w="297"/>
        <w:gridCol w:w="297"/>
        <w:gridCol w:w="297"/>
        <w:gridCol w:w="420"/>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896"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CARTESIAN THERAPEUTICS, INC.</w:t>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PARTICIPANT</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1906"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1905" w:type="dxa"/>
            <w:gridSpan w:val="6"/>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906"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[Participant Name]</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1906"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A</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6.4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Capitalized terms not specifically defined in this Agreement have the meanings specified in the Grant Notice or, if not defined in the Grant Notice, in the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w:t>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Award of RSUs and Dividend Equivalents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The Company has granted the RSUs to Participant effective as of the grant date set forth in the Grant Notice (the “</w:t>
      </w:r>
      <w:r>
        <w:rPr>
          <w:rFonts w:ascii="Times New Roman;serif" w:hAnsi="Times New Roman;serif"/>
          <w:b/>
          <w:i/>
          <w:color w:val="000000"/>
          <w:sz w:val="22"/>
        </w:rPr>
        <w:t>Grant Date</w:t>
      </w:r>
      <w:r>
        <w:rPr>
          <w:color w:val="000000"/>
        </w:rPr>
        <w:t>”</w:t>
      </w:r>
      <w:r>
        <w:rPr>
          <w:rFonts w:ascii="Times New Roman;serif" w:hAnsi="Times New Roman;serif"/>
          <w:b w:val="false"/>
          <w:color w:val="000000"/>
          <w:sz w:val="22"/>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serif" w:hAnsi="Times New Roman;serif"/>
          <w:b/>
          <w:i/>
          <w:color w:val="000000"/>
          <w:sz w:val="22"/>
        </w:rPr>
        <w:t>Dividend Equivalent Account</w:t>
      </w:r>
      <w:r>
        <w:rPr>
          <w:color w:val="000000"/>
        </w:rPr>
        <w:t>”</w:t>
      </w:r>
      <w:r>
        <w:rPr>
          <w:rFonts w:ascii="Times New Roman;serif" w:hAnsi="Times New Roman;serif"/>
          <w:b w:val="false"/>
          <w:color w:val="000000"/>
          <w:sz w:val="22"/>
        </w:rPr>
        <w:t>) for each Dividend Equivalent and credit the Dividend Equivalent Account (without interest) on the applicable dividend payment date with the amount of any such cash paid.</w:t>
      </w:r>
    </w:p>
    <w:p>
      <w:pPr>
        <w:pStyle w:val="TextBody"/>
        <w:bidi w:val="0"/>
        <w:spacing w:lineRule="auto" w:line="288" w:before="0" w:after="24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Incorporation of Terms of Plan</w:t>
      </w:r>
      <w:r>
        <w:rPr>
          <w:rFonts w:ascii="Times New Roman;serif" w:hAnsi="Times New Roman;serif"/>
          <w:b w:val="false"/>
          <w:color w:val="000000"/>
          <w:sz w:val="22"/>
        </w:rPr>
        <w:t>. The RSUs are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Unsecured Promise</w:t>
      </w:r>
      <w:r>
        <w:rPr>
          <w:rFonts w:ascii="Times New Roman;serif" w:hAnsi="Times New Roman;serif"/>
          <w:b w:val="false"/>
          <w:color w:val="000000"/>
          <w:sz w:val="22"/>
        </w:rPr>
        <w:t>. The RSUs and Dividend Equivalents will at all times prior to settlement represent an unsecured Company obligation payable only from the Company’s general assets.</w:t>
      </w:r>
    </w:p>
    <w:p>
      <w:pPr>
        <w:pStyle w:val="TextBody"/>
        <w:bidi w:val="0"/>
        <w:spacing w:lineRule="auto" w:line="288" w:before="0" w:after="240"/>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Employment Inducement Award</w:t>
      </w:r>
      <w:r>
        <w:rPr>
          <w:rFonts w:ascii="Times New Roman;serif" w:hAnsi="Times New Roman;serif"/>
          <w:b w:val="false"/>
          <w:color w:val="000000"/>
          <w:sz w:val="22"/>
        </w:rPr>
        <w:t>. The RSUs are intended to constitute an “employment inducement award” under NASDAQ Rule 5635(c)(4) that is exempt from the requirements of shareholder approval of equity-compensation plans under NASDAQ Rule 5635(c)(4). This Agreement and the terms and conditions of the RSUs will be interpreted consistent with such intent.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w:t>
        <w:br/>
        <w:t>VESTING; FORFEITURE AND SETTLEMENT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Vesting; Forfeiture</w:t>
      </w:r>
      <w:r>
        <w:rPr>
          <w:rFonts w:ascii="Times New Roman;serif" w:hAnsi="Times New Roman;serif"/>
          <w:b w:val="false"/>
          <w:color w:val="000000"/>
          <w:sz w:val="22"/>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2.2    </w:t>
      </w:r>
      <w:r>
        <w:rPr>
          <w:rFonts w:ascii="Times New Roman;serif" w:hAnsi="Times New Roman;serif"/>
          <w:b w:val="false"/>
          <w:color w:val="000000"/>
          <w:sz w:val="22"/>
          <w:u w:val="single"/>
        </w:rPr>
        <w:t>Settlement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taxes under Section 409A.</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III.</w:t>
        <w:br/>
        <w:t>TAXATION AND 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3.1    </w:t>
      </w:r>
      <w:r>
        <w:rPr>
          <w:rFonts w:ascii="Times New Roman;serif" w:hAnsi="Times New Roman;serif"/>
          <w:b w:val="false"/>
          <w:color w:val="000000"/>
          <w:sz w:val="22"/>
          <w:u w:val="single"/>
        </w:rPr>
        <w:t>Representation</w:t>
      </w:r>
      <w:r>
        <w:rPr>
          <w:rFonts w:ascii="Times New Roman;serif" w:hAnsi="Times New Roman;serif"/>
          <w:b w:val="false"/>
          <w:color w:val="000000"/>
          <w:sz w:val="22"/>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3.2    </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IV.</w:t>
        <w:br/>
        <w:t>OTHER PROVISIONS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4.1    </w:t>
      </w:r>
      <w:r>
        <w:rPr>
          <w:rFonts w:ascii="Times New Roman;serif" w:hAnsi="Times New Roman;serif"/>
          <w:b w:val="false"/>
          <w:color w:val="000000"/>
          <w:sz w:val="22"/>
          <w:u w:val="single"/>
        </w:rPr>
        <w:t>Adjustments</w:t>
      </w:r>
      <w:r>
        <w:rPr>
          <w:rFonts w:ascii="Times New Roman;serif" w:hAnsi="Times New Roman;serif"/>
          <w:b w:val="false"/>
          <w:color w:val="000000"/>
          <w:sz w:val="22"/>
        </w:rPr>
        <w:t>. Participant acknowledges that the RSUs, the Shares subject to the RSUs and the Dividend Equivalents are subject to adjustment, modification and termination in certain events as provided in this Agreement and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4.2    </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Any notice to be given under the terms of this Agreement to the Company must be in writing and addressed to the Company in care of the Company’s Secretary at the Company’s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4.3    </w:t>
      </w:r>
      <w:r>
        <w:rPr>
          <w:rFonts w:ascii="Times New Roman;serif" w:hAnsi="Times New Roman;serif"/>
          <w:b w:val="false"/>
          <w:color w:val="000000"/>
          <w:sz w:val="22"/>
          <w:u w:val="single"/>
        </w:rPr>
        <w:t>Titles</w:t>
      </w:r>
      <w:r>
        <w:rPr>
          <w:rFonts w:ascii="Times New Roman;serif" w:hAnsi="Times New Roman;serif"/>
          <w:b w:val="false"/>
          <w:color w:val="000000"/>
          <w:sz w:val="22"/>
        </w:rPr>
        <w:t>. Titles are provided herein for convenience only and are not to serve as a basis for interpretation or construction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4.4    </w:t>
      </w:r>
      <w:r>
        <w:rPr>
          <w:rFonts w:ascii="Times New Roman;serif" w:hAnsi="Times New Roman;serif"/>
          <w:b w:val="false"/>
          <w:color w:val="000000"/>
          <w:sz w:val="22"/>
          <w:u w:val="single"/>
        </w:rPr>
        <w:t>Conformity to Securities Laws</w:t>
      </w:r>
      <w:r>
        <w:rPr>
          <w:rFonts w:ascii="Times New Roman;serif" w:hAnsi="Times New Roman;serif"/>
          <w:b w:val="false"/>
          <w:color w:val="000000"/>
          <w:sz w:val="22"/>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4.5    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4.6    </w:t>
      </w:r>
      <w:r>
        <w:rPr>
          <w:rFonts w:ascii="Times New Roman;serif" w:hAnsi="Times New Roman;serif"/>
          <w:b w:val="false"/>
          <w:color w:val="000000"/>
          <w:sz w:val="22"/>
          <w:u w:val="single"/>
        </w:rPr>
        <w:t>Limitations Applicable to Section 16 Persons</w:t>
      </w:r>
      <w:r>
        <w:rPr>
          <w:rFonts w:ascii="Times New Roman;serif" w:hAnsi="Times New Roman;serif"/>
          <w:b w:val="false"/>
          <w:color w:val="000000"/>
          <w:sz w:val="22"/>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2"/>
        </w:rPr>
        <w:t>4.7    </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4.8    </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4.9    </w:t>
      </w:r>
      <w:r>
        <w:rPr>
          <w:rFonts w:ascii="Times New Roman;serif" w:hAnsi="Times New Roman;serif"/>
          <w:b w:val="false"/>
          <w:color w:val="000000"/>
          <w:sz w:val="22"/>
          <w:u w:val="single"/>
        </w:rPr>
        <w:t>Limitation on Participant’s Rights</w:t>
      </w:r>
      <w:r>
        <w:rPr>
          <w:rFonts w:ascii="Times New Roman;serif" w:hAnsi="Times New Roman;serif"/>
          <w:b w:val="false"/>
          <w:color w:val="000000"/>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4.10    </w:t>
      </w:r>
      <w:r>
        <w:rPr>
          <w:rFonts w:ascii="Times New Roman;serif" w:hAnsi="Times New Roman;serif"/>
          <w:b w:val="false"/>
          <w:color w:val="000000"/>
          <w:sz w:val="22"/>
          <w:u w:val="single"/>
        </w:rPr>
        <w:t>Not a Contract of Employment</w:t>
      </w:r>
      <w:r>
        <w:rPr>
          <w:rFonts w:ascii="Times New Roman;serif" w:hAnsi="Times New Roman;serif"/>
          <w:b w:val="false"/>
          <w:color w:val="000000"/>
          <w:sz w:val="22"/>
        </w:rPr>
        <w:t xml:space="preserve">. Nothing in the Plan, the Grant Notice or this Agreement confers upon Participant any right to continue in the employ or service of the Company or any Subsidiary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4.11    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p>
                  </w:txbxContent>
                </v:textbox>
                <w10:wrap type="none"/>
              </v:rect>
            </w:pict>
          </mc:Fallback>
        </mc:AlternateContent>
      </w:r>
    </w:p>
    <w:tbl>
      <w:tblPr>
        <w:tblW w:w="10034" w:type="dxa"/>
        <w:jc w:val="left"/>
        <w:tblInd w:w="0" w:type="dxa"/>
        <w:tblLayout w:type="fixed"/>
        <w:tblCellMar>
          <w:top w:w="28" w:type="dxa"/>
          <w:left w:w="28" w:type="dxa"/>
          <w:bottom w:w="28" w:type="dxa"/>
          <w:right w:w="28" w:type="dxa"/>
        </w:tblCellMar>
      </w:tblPr>
      <w:tblGrid>
        <w:gridCol w:w="3213"/>
        <w:gridCol w:w="2824"/>
        <w:gridCol w:w="3997"/>
      </w:tblGrid>
      <w:tr>
        <w:trPr/>
        <w:tc>
          <w:tcPr>
            <w:tcW w:w="3213"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3997" w:type="dxa"/>
            <w:tcBorders/>
            <w:vAlign w:val="center"/>
          </w:tcPr>
          <w:p>
            <w:pPr>
              <w:pStyle w:val="TableContents"/>
              <w:bidi w:val="0"/>
              <w:spacing w:before="0" w:after="283"/>
              <w:jc w:val="left"/>
              <w:rPr>
                <w:sz w:val="4"/>
                <w:szCs w:val="4"/>
              </w:rPr>
            </w:pPr>
            <w:r>
              <w:rPr>
                <w:sz w:val="4"/>
                <w:szCs w:val="4"/>
              </w:rPr>
            </w:r>
          </w:p>
        </w:tc>
      </w:tr>
      <w:tr>
        <w:trPr/>
        <w:tc>
          <w:tcPr>
            <w:tcW w:w="100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CARTESIAN THERAPEUTICS, INC.</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AMENDED AND RESTATED 2018 EMPLOYMENT INDUCEMENT INCENTIVE AWARD PLAN</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STOCK OPTION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Capitalized terms not specifically defined in this Stock Option Grant Notice (the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have the meanings given to them in the Amended and Restated 2018 Employment Inducement Incentive Award Plan (as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of Cartesian Therapeutics,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Company has granted to the participant listed below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the stock option described in this Grant Notice (the “</w:t>
      </w:r>
      <w:r>
        <w:rPr>
          <w:rFonts w:ascii="Times New Roman;serif" w:hAnsi="Times New Roman;serif"/>
          <w:b/>
          <w:i/>
          <w:color w:val="000000"/>
          <w:sz w:val="22"/>
        </w:rPr>
        <w:t>Option</w:t>
      </w:r>
      <w:r>
        <w:rPr>
          <w:color w:val="000000"/>
        </w:rPr>
        <w:t>”</w:t>
      </w:r>
      <w:r>
        <w:rPr>
          <w:rFonts w:ascii="Times New Roman;serif" w:hAnsi="Times New Roman;serif"/>
          <w:b w:val="false"/>
          <w:color w:val="000000"/>
          <w:sz w:val="22"/>
        </w:rPr>
        <w:t xml:space="preserve">), subject to the terms and conditions of the Plan and the Stock Option Agreement attached as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both of which are incorporated into this Grant Notice by reference.</w:t>
      </w:r>
    </w:p>
    <w:tbl>
      <w:tblPr>
        <w:tblW w:w="7813" w:type="dxa"/>
        <w:jc w:val="left"/>
        <w:tblInd w:w="0" w:type="dxa"/>
        <w:tblLayout w:type="fixed"/>
        <w:tblCellMar>
          <w:top w:w="28" w:type="dxa"/>
          <w:left w:w="28" w:type="dxa"/>
          <w:bottom w:w="28" w:type="dxa"/>
          <w:right w:w="28" w:type="dxa"/>
        </w:tblCellMar>
      </w:tblPr>
      <w:tblGrid>
        <w:gridCol w:w="1113"/>
        <w:gridCol w:w="978"/>
        <w:gridCol w:w="983"/>
        <w:gridCol w:w="1387"/>
        <w:gridCol w:w="1387"/>
        <w:gridCol w:w="1965"/>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Participant:</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Grant Date:</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Exercise Price per Share:</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Shares Subject to the Option:</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Final Expiration Date:</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Vesting Commencement Date:</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Vesting Schedule:</w:t>
            </w:r>
          </w:p>
        </w:tc>
        <w:tc>
          <w:tcPr>
            <w:tcW w:w="473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[To be specified in individual award agreements]</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Type of Option</w:t>
            </w:r>
          </w:p>
        </w:tc>
        <w:tc>
          <w:tcPr>
            <w:tcW w:w="473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Non-Qualified Stock Option</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 </w:t>
      </w:r>
    </w:p>
    <w:tbl>
      <w:tblPr>
        <w:tblW w:w="5801" w:type="dxa"/>
        <w:jc w:val="left"/>
        <w:tblInd w:w="0" w:type="dxa"/>
        <w:tblLayout w:type="fixed"/>
        <w:tblCellMar>
          <w:top w:w="28" w:type="dxa"/>
          <w:left w:w="28" w:type="dxa"/>
          <w:bottom w:w="28" w:type="dxa"/>
          <w:right w:w="28" w:type="dxa"/>
        </w:tblCellMar>
      </w:tblPr>
      <w:tblGrid>
        <w:gridCol w:w="722"/>
        <w:gridCol w:w="634"/>
        <w:gridCol w:w="634"/>
        <w:gridCol w:w="634"/>
        <w:gridCol w:w="634"/>
        <w:gridCol w:w="638"/>
        <w:gridCol w:w="297"/>
        <w:gridCol w:w="297"/>
        <w:gridCol w:w="297"/>
        <w:gridCol w:w="297"/>
        <w:gridCol w:w="297"/>
        <w:gridCol w:w="420"/>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896"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CARTESIAN THERAPEUTICS, INC.</w:t>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PARTICIPANT</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1906"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1905" w:type="dxa"/>
            <w:gridSpan w:val="6"/>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906"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[Participant Name]</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1906"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STOCK OPTION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Capitalized terms not specifically defined in this Agreement have the meanings specified in the Grant Notice or, if not defined in the Grant Notice, in the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w:t>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Grant of Option</w:t>
      </w:r>
      <w:r>
        <w:rPr>
          <w:rFonts w:ascii="Times New Roman;serif" w:hAnsi="Times New Roman;serif"/>
          <w:b w:val="false"/>
          <w:color w:val="000000"/>
          <w:sz w:val="22"/>
        </w:rPr>
        <w:t>. The Company has granted to Participant the Option effective as of the grant date set forth in the Grant Notice (the “</w:t>
      </w:r>
      <w:r>
        <w:rPr>
          <w:rFonts w:ascii="Times New Roman;serif" w:hAnsi="Times New Roman;serif"/>
          <w:b/>
          <w:i/>
          <w:color w:val="000000"/>
          <w:sz w:val="22"/>
        </w:rPr>
        <w:t>Grant Date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Incorporation of Terms of Plan</w:t>
      </w:r>
      <w:r>
        <w:rPr>
          <w:rFonts w:ascii="Times New Roman;serif" w:hAnsi="Times New Roman;serif"/>
          <w:b w:val="false"/>
          <w:color w:val="000000"/>
          <w:sz w:val="22"/>
        </w:rPr>
        <w:t>. The Option is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Employment Inducement Award</w:t>
      </w:r>
      <w:r>
        <w:rPr>
          <w:rFonts w:ascii="Times New Roman;serif" w:hAnsi="Times New Roman;serif"/>
          <w:b w:val="false"/>
          <w:color w:val="000000"/>
          <w:sz w:val="22"/>
        </w:rPr>
        <w:t>. The Option is intended to constitute an “employment inducement award” under NASDAQ Rule 5635(c)(4) that is exempt from the requirements of shareholder approval of equity-compensation plans under NASDAQ Rule 5635(c)(4). This Agreement and the terms and conditions of the Option will be interpreted consistent with such intent.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w:t>
        <w:br/>
        <w:t>PERIOD OF EXERCISABILITY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Commencement of Exercisability</w:t>
      </w:r>
      <w:r>
        <w:rPr>
          <w:rFonts w:ascii="Times New Roman;serif" w:hAnsi="Times New Roman;serif"/>
          <w:b w:val="false"/>
          <w:color w:val="000000"/>
          <w:sz w:val="22"/>
        </w:rPr>
        <w:t>. The Option will vest and become exercisable according to the vesting schedule in the Grant Notice (the “</w:t>
      </w:r>
      <w:r>
        <w:rPr>
          <w:rFonts w:ascii="Times New Roman;serif" w:hAnsi="Times New Roman;serif"/>
          <w:b/>
          <w:i/>
          <w:color w:val="000000"/>
          <w:sz w:val="22"/>
        </w:rPr>
        <w:t>Vesting Schedule</w:t>
      </w:r>
      <w:r>
        <w:rPr>
          <w:color w:val="000000"/>
        </w:rPr>
        <w:t>”</w:t>
      </w:r>
      <w:r>
        <w:rPr>
          <w:rFonts w:ascii="Times New Roman;serif" w:hAnsi="Times New Roman;serif"/>
          <w:b w:val="false"/>
          <w:color w:val="000000"/>
          <w:sz w:val="22"/>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2.2    </w:t>
      </w:r>
      <w:r>
        <w:rPr>
          <w:rFonts w:ascii="Times New Roman;serif" w:hAnsi="Times New Roman;serif"/>
          <w:b w:val="false"/>
          <w:color w:val="000000"/>
          <w:sz w:val="22"/>
          <w:u w:val="single"/>
        </w:rPr>
        <w:t>Duration of Exercisability</w:t>
      </w:r>
      <w:r>
        <w:rPr>
          <w:rFonts w:ascii="Times New Roman;serif" w:hAnsi="Times New Roman;serif"/>
          <w:b w:val="false"/>
          <w:color w:val="000000"/>
          <w:sz w:val="22"/>
        </w:rPr>
        <w:t>. The Vesting Schedule is cumulative. Any portion of the Option which vests and becomes exercisable will remain vested and exercisable until the Option expires. The Option will be forfeited immediately upon its expiration.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2.3    </w:t>
      </w:r>
      <w:r>
        <w:rPr>
          <w:rFonts w:ascii="Times New Roman;serif" w:hAnsi="Times New Roman;serif"/>
          <w:b w:val="false"/>
          <w:color w:val="000000"/>
          <w:sz w:val="22"/>
          <w:u w:val="single"/>
        </w:rPr>
        <w:t>Expiration of Option</w:t>
      </w:r>
      <w:r>
        <w:rPr>
          <w:rFonts w:ascii="Times New Roman;serif" w:hAnsi="Times New Roman;serif"/>
          <w:b w:val="false"/>
          <w:color w:val="000000"/>
          <w:sz w:val="22"/>
        </w:rPr>
        <w:t>. The Option may not be exercised to any extent by anyone after, and will expire on, the first of the following to occur: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The final expiration date in the Grant Notice;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Except as the Administrator may otherwise approve, the expiration of three (3) months from the date of Participant’s Termination of Service, unless Participant’s Termination of Service is for Cause or by reason of Participant’s death or Disability;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Except as the Administrator may otherwise approve, the expiration of one (1) year from the date of Participant’s Termination of Service by reason of Participant’s death or Disability; and</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Except as the Administrator may otherwise approve, Participant’s Termination of Service for Cause.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III.</w:t>
        <w:br/>
        <w:t>EXERCISE OF OPTION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3.1    </w:t>
      </w:r>
      <w:r>
        <w:rPr>
          <w:rFonts w:ascii="Times New Roman;serif" w:hAnsi="Times New Roman;serif"/>
          <w:b w:val="false"/>
          <w:color w:val="000000"/>
          <w:sz w:val="22"/>
          <w:u w:val="single"/>
        </w:rPr>
        <w:t>Person Eligible to Exercise</w:t>
      </w:r>
      <w:r>
        <w:rPr>
          <w:rFonts w:ascii="Times New Roman;serif" w:hAnsi="Times New Roman;serif"/>
          <w:b w:val="false"/>
          <w:color w:val="000000"/>
          <w:sz w:val="22"/>
        </w:rPr>
        <w:t>. During Participant’s lifetime, only Participant may exercise the Option. After Participant’s death, any exercisable portion of the Option may, prior to the time the Option expires, be exercised by Participant’s Designated Beneficiary as provided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3.2    </w:t>
      </w:r>
      <w:r>
        <w:rPr>
          <w:rFonts w:ascii="Times New Roman;serif" w:hAnsi="Times New Roman;serif"/>
          <w:b w:val="false"/>
          <w:color w:val="000000"/>
          <w:sz w:val="22"/>
          <w:u w:val="single"/>
        </w:rPr>
        <w:t>Partial Exercise</w:t>
      </w:r>
      <w:r>
        <w:rPr>
          <w:rFonts w:ascii="Times New Roman;serif" w:hAnsi="Times New Roman;serif"/>
          <w:b w:val="false"/>
          <w:color w:val="000000"/>
          <w:sz w:val="22"/>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3.3    </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3.4    </w:t>
      </w:r>
      <w:r>
        <w:rPr>
          <w:rFonts w:ascii="Times New Roman;serif" w:hAnsi="Times New Roman;serif"/>
          <w:b w:val="false"/>
          <w:color w:val="000000"/>
          <w:sz w:val="22"/>
          <w:u w:val="single"/>
        </w:rPr>
        <w:t>Non-Exempt Employees</w:t>
      </w:r>
      <w:r>
        <w:rPr>
          <w:rFonts w:ascii="Times New Roman;serif" w:hAnsi="Times New Roman;serif"/>
          <w:b w:val="false"/>
          <w:color w:val="000000"/>
          <w:sz w:val="22"/>
        </w:rPr>
        <w:t>. If Participant is an Employee in the United States who is a non-exempt employee for purposes of the Fair Labor Standards Act of 1938, as amended, the Option will not be first exercisable until at least six (6) months following the Grant Date (although the Option may vest prior to such date if provided for pursuant to the Vesting Schedule). Consistent with the provisions of the Worker Economic Opportunity Act, (i) if such Participant dies or suffers a Disability, (ii) upon a Change in Control, or (iii) upon the Participant’s retirement (as determined in accordance with the Company’s then current employment policies and guidelines), the vested portion of the Option may be exercised earlier than six (6) months following the Grant Date. The foregoing provision is intended to operate so that any income derived by a Participant who is a non-exempt Employee in connection with the exercise or vesting of an Option will be exempt from his or her regular rate of pay.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IV.</w:t>
        <w:br/>
        <w:t>OTHER PROVISIONS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4.1    </w:t>
      </w:r>
      <w:r>
        <w:rPr>
          <w:rFonts w:ascii="Times New Roman;serif" w:hAnsi="Times New Roman;serif"/>
          <w:b w:val="false"/>
          <w:color w:val="000000"/>
          <w:sz w:val="22"/>
          <w:u w:val="single"/>
        </w:rPr>
        <w:t>Adjustments</w:t>
      </w:r>
      <w:r>
        <w:rPr>
          <w:rFonts w:ascii="Times New Roman;serif" w:hAnsi="Times New Roman;serif"/>
          <w:b w:val="false"/>
          <w:color w:val="000000"/>
          <w:sz w:val="22"/>
        </w:rPr>
        <w:t>. Participant acknowledges that the Option is subject to adjustment, modification and termination in certain events as provided in this Agreement and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4.2    </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Any notice to be given under the terms of this Agreement to the Company must be in writing and addressed to the Company in care of the Company’s Secretary at the Company’s principal office or the Secretary’s then-current email address or facsimile number. Any notice to be given </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4.3    </w:t>
      </w:r>
      <w:r>
        <w:rPr>
          <w:rFonts w:ascii="Times New Roman;serif" w:hAnsi="Times New Roman;serif"/>
          <w:b w:val="false"/>
          <w:color w:val="000000"/>
          <w:sz w:val="22"/>
          <w:u w:val="single"/>
        </w:rPr>
        <w:t>Titles</w:t>
      </w:r>
      <w:r>
        <w:rPr>
          <w:rFonts w:ascii="Times New Roman;serif" w:hAnsi="Times New Roman;serif"/>
          <w:b w:val="false"/>
          <w:color w:val="000000"/>
          <w:sz w:val="22"/>
        </w:rPr>
        <w:t>. Titles are provided herein for convenience only and are not to serve as a basis for interpretation or construction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4.4    </w:t>
      </w:r>
      <w:r>
        <w:rPr>
          <w:rFonts w:ascii="Times New Roman;serif" w:hAnsi="Times New Roman;serif"/>
          <w:b w:val="false"/>
          <w:color w:val="000000"/>
          <w:sz w:val="22"/>
          <w:u w:val="single"/>
        </w:rPr>
        <w:t>Conformity to Securities Laws</w:t>
      </w:r>
      <w:r>
        <w:rPr>
          <w:rFonts w:ascii="Times New Roman;serif" w:hAnsi="Times New Roman;serif"/>
          <w:b w:val="false"/>
          <w:color w:val="000000"/>
          <w:sz w:val="22"/>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4.5    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4.6    </w:t>
      </w:r>
      <w:r>
        <w:rPr>
          <w:rFonts w:ascii="Times New Roman;serif" w:hAnsi="Times New Roman;serif"/>
          <w:b w:val="false"/>
          <w:color w:val="000000"/>
          <w:sz w:val="22"/>
          <w:u w:val="single"/>
        </w:rPr>
        <w:t>Limitations Applicable to Section 16 Persons</w:t>
      </w:r>
      <w:r>
        <w:rPr>
          <w:rFonts w:ascii="Times New Roman;serif" w:hAnsi="Times New Roman;serif"/>
          <w:b w:val="false"/>
          <w:color w:val="000000"/>
          <w:sz w:val="22"/>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2"/>
        </w:rPr>
        <w:t>4.7    </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4.8    </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4.9    </w:t>
      </w:r>
      <w:r>
        <w:rPr>
          <w:rFonts w:ascii="Times New Roman;serif" w:hAnsi="Times New Roman;serif"/>
          <w:b w:val="false"/>
          <w:color w:val="000000"/>
          <w:sz w:val="22"/>
          <w:u w:val="single"/>
        </w:rPr>
        <w:t>Limitation on Participant’s Rights</w:t>
      </w:r>
      <w:r>
        <w:rPr>
          <w:rFonts w:ascii="Times New Roman;serif" w:hAnsi="Times New Roman;serif"/>
          <w:b w:val="false"/>
          <w:color w:val="000000"/>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4.10    </w:t>
      </w:r>
      <w:r>
        <w:rPr>
          <w:rFonts w:ascii="Times New Roman;serif" w:hAnsi="Times New Roman;serif"/>
          <w:b w:val="false"/>
          <w:color w:val="000000"/>
          <w:sz w:val="22"/>
          <w:u w:val="single"/>
        </w:rPr>
        <w:t>Not a Contract of Employment</w:t>
      </w:r>
      <w:r>
        <w:rPr>
          <w:rFonts w:ascii="Times New Roman;serif" w:hAnsi="Times New Roman;serif"/>
          <w:b w:val="false"/>
          <w:color w:val="000000"/>
          <w:sz w:val="22"/>
        </w:rPr>
        <w:t xml:space="preserve">. Nothing in the Plan, the Grant Notice or this Agreement confers upon Participant any right to continue in the employ or service of the Company or any Subsidiary or interferes with or restricts in any way the rights of the Company and its Subsidiaries, which rights are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4.11    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p>
                  </w:txbxContent>
                </v:textbox>
                <w10:wrap type="none"/>
              </v:rect>
            </w:pict>
          </mc:Fallback>
        </mc:AlternateContent>
      </w:r>
    </w:p>
    <w:tbl>
      <w:tblPr>
        <w:tblW w:w="10034" w:type="dxa"/>
        <w:jc w:val="left"/>
        <w:tblInd w:w="0" w:type="dxa"/>
        <w:tblLayout w:type="fixed"/>
        <w:tblCellMar>
          <w:top w:w="28" w:type="dxa"/>
          <w:left w:w="28" w:type="dxa"/>
          <w:bottom w:w="28" w:type="dxa"/>
          <w:right w:w="28" w:type="dxa"/>
        </w:tblCellMar>
      </w:tblPr>
      <w:tblGrid>
        <w:gridCol w:w="3213"/>
        <w:gridCol w:w="2824"/>
        <w:gridCol w:w="3997"/>
      </w:tblGrid>
      <w:tr>
        <w:trPr/>
        <w:tc>
          <w:tcPr>
            <w:tcW w:w="3213"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3997" w:type="dxa"/>
            <w:tcBorders/>
            <w:vAlign w:val="center"/>
          </w:tcPr>
          <w:p>
            <w:pPr>
              <w:pStyle w:val="TableContents"/>
              <w:bidi w:val="0"/>
              <w:spacing w:before="0" w:after="283"/>
              <w:jc w:val="left"/>
              <w:rPr>
                <w:sz w:val="4"/>
                <w:szCs w:val="4"/>
              </w:rPr>
            </w:pPr>
            <w:r>
              <w:rPr>
                <w:sz w:val="4"/>
                <w:szCs w:val="4"/>
              </w:rPr>
            </w:r>
          </w:p>
        </w:tc>
      </w:tr>
      <w:tr>
        <w:trPr/>
        <w:tc>
          <w:tcPr>
            <w:tcW w:w="100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CARTESIAN THERAPUETICS, INC.</w:t>
              <w:br/>
              <w:t>AMENDED AND RESTATED 2018 EMPLOYMENT INDUCEMENT INCENTIVE AWARD PLAN</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Capitalized terms not specifically defined in this Restricted Stock Grant Notice (the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have the meanings given to them in the Amended and Restated 2018 Employment Inducement Incentive Award Plan (as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of Cartesian Therapeutics,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Company has granted to the participant listed below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shares of Restricted Stock described in this Grant Notice (the “</w:t>
      </w:r>
      <w:r>
        <w:rPr>
          <w:rFonts w:ascii="Times New Roman;serif" w:hAnsi="Times New Roman;serif"/>
          <w:b/>
          <w:i/>
          <w:color w:val="000000"/>
          <w:sz w:val="22"/>
        </w:rPr>
        <w:t>Restricted Shares</w:t>
      </w:r>
      <w:r>
        <w:rPr>
          <w:color w:val="000000"/>
        </w:rPr>
        <w:t>”</w:t>
      </w:r>
      <w:r>
        <w:rPr>
          <w:rFonts w:ascii="Times New Roman;serif" w:hAnsi="Times New Roman;serif"/>
          <w:b w:val="false"/>
          <w:color w:val="000000"/>
          <w:sz w:val="22"/>
        </w:rPr>
        <w:t xml:space="preserve">), subject to the terms and conditions of the Plan and the Restricted Stock Agreement attached as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both of which are incorporated into this Grant Notice by reference. </w:t>
      </w:r>
    </w:p>
    <w:tbl>
      <w:tblPr>
        <w:tblW w:w="7813" w:type="dxa"/>
        <w:jc w:val="left"/>
        <w:tblInd w:w="0" w:type="dxa"/>
        <w:tblLayout w:type="fixed"/>
        <w:tblCellMar>
          <w:top w:w="28" w:type="dxa"/>
          <w:left w:w="28" w:type="dxa"/>
          <w:bottom w:w="28" w:type="dxa"/>
          <w:right w:w="28" w:type="dxa"/>
        </w:tblCellMar>
      </w:tblPr>
      <w:tblGrid>
        <w:gridCol w:w="1113"/>
        <w:gridCol w:w="978"/>
        <w:gridCol w:w="983"/>
        <w:gridCol w:w="1387"/>
        <w:gridCol w:w="1387"/>
        <w:gridCol w:w="1965"/>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Participant:</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Grant Date:</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Number of Restricted Shares:</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Vesting Commencement Date:</w:t>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Vesting Schedule:</w:t>
            </w:r>
          </w:p>
        </w:tc>
        <w:tc>
          <w:tcPr>
            <w:tcW w:w="473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[To be specified in individual award agreements]</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120"/>
              <w:jc w:val="both"/>
              <w:rPr/>
            </w:pPr>
            <w:r>
              <w:rPr/>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tbl>
      <w:tblPr>
        <w:tblW w:w="5801" w:type="dxa"/>
        <w:jc w:val="left"/>
        <w:tblInd w:w="0" w:type="dxa"/>
        <w:tblLayout w:type="fixed"/>
        <w:tblCellMar>
          <w:top w:w="28" w:type="dxa"/>
          <w:left w:w="28" w:type="dxa"/>
          <w:bottom w:w="28" w:type="dxa"/>
          <w:right w:w="28" w:type="dxa"/>
        </w:tblCellMar>
      </w:tblPr>
      <w:tblGrid>
        <w:gridCol w:w="722"/>
        <w:gridCol w:w="634"/>
        <w:gridCol w:w="634"/>
        <w:gridCol w:w="634"/>
        <w:gridCol w:w="634"/>
        <w:gridCol w:w="638"/>
        <w:gridCol w:w="297"/>
        <w:gridCol w:w="297"/>
        <w:gridCol w:w="297"/>
        <w:gridCol w:w="297"/>
        <w:gridCol w:w="297"/>
        <w:gridCol w:w="420"/>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896"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CARTESIAN THERAPEUTICS, INC.</w:t>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PARTICIPANT</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1906"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1905" w:type="dxa"/>
            <w:gridSpan w:val="6"/>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906"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[Participant Name]</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1906"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Capitalized terms not specifically defined in this Agreement have the meanings specified in the Grant Notice or, if not defined in the Grant Notice, in the Plan.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w:t>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Issuance of Restricted Shares</w:t>
      </w:r>
      <w:r>
        <w:rPr>
          <w:rFonts w:ascii="Times New Roman;serif" w:hAnsi="Times New Roman;serif"/>
          <w:b w:val="false"/>
          <w:color w:val="000000"/>
          <w:sz w:val="22"/>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Incorporation of Terms of Plan</w:t>
      </w:r>
      <w:r>
        <w:rPr>
          <w:rFonts w:ascii="Times New Roman;serif" w:hAnsi="Times New Roman;serif"/>
          <w:b w:val="false"/>
          <w:color w:val="000000"/>
          <w:sz w:val="22"/>
        </w:rPr>
        <w:t>. The Restricted Shares are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Employment Inducement Award</w:t>
      </w:r>
      <w:r>
        <w:rPr>
          <w:rFonts w:ascii="Times New Roman;serif" w:hAnsi="Times New Roman;serif"/>
          <w:b w:val="false"/>
          <w:color w:val="000000"/>
          <w:sz w:val="22"/>
        </w:rPr>
        <w:t>. The Restricted Shares are intended to constitute an “employment inducement award” under NASDAQ Rule 5635(c)(4) that is exempt from the requirements of shareholder approval of equity-compensation plans under NASDAQ Rule 5635(c)(4). This Agreement and the terms and conditions of the Restricted Shares will be interpreted consistent with such intent.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w:t>
        <w:br/>
        <w:t>VESTING, FORFEITURE AND ESCROW</w:t>
      </w:r>
    </w:p>
    <w:p>
      <w:pPr>
        <w:pStyle w:val="TextBody"/>
        <w:bidi w:val="0"/>
        <w:spacing w:lineRule="auto" w:line="288" w:before="0" w:after="240"/>
        <w:ind w:left="0" w:right="0" w:firstLine="72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Vesting</w:t>
      </w:r>
      <w:r>
        <w:rPr>
          <w:rFonts w:ascii="Times New Roman;serif" w:hAnsi="Times New Roman;serif"/>
          <w:b w:val="false"/>
          <w:color w:val="000000"/>
          <w:sz w:val="22"/>
        </w:rPr>
        <w:t>. The Restricted Shares will become vested Shares (the “</w:t>
      </w:r>
      <w:r>
        <w:rPr>
          <w:rFonts w:ascii="Times New Roman;serif" w:hAnsi="Times New Roman;serif"/>
          <w:b/>
          <w:i/>
          <w:color w:val="000000"/>
          <w:sz w:val="22"/>
        </w:rPr>
        <w:t>Vested Shares</w:t>
      </w:r>
      <w:r>
        <w:rPr>
          <w:color w:val="000000"/>
        </w:rPr>
        <w:t>”</w:t>
      </w:r>
      <w:r>
        <w:rPr>
          <w:rFonts w:ascii="Times New Roman;serif" w:hAnsi="Times New Roman;serif"/>
          <w:b w:val="false"/>
          <w:color w:val="000000"/>
          <w:sz w:val="22"/>
        </w:rPr>
        <w:t xml:space="preserve">) according to the vesting schedule in the Grant Notice except that any fraction of a Share that would otherwise become a Vested Share will be accumulated and will become a Vested Share only when a whole Vested Share has accumulated. </w:t>
      </w:r>
    </w:p>
    <w:p>
      <w:pPr>
        <w:pStyle w:val="TextBody"/>
        <w:bidi w:val="0"/>
        <w:spacing w:lineRule="auto" w:line="288" w:before="0" w:after="240"/>
        <w:ind w:left="0" w:right="0" w:firstLine="720"/>
        <w:jc w:val="both"/>
        <w:rPr/>
      </w:pPr>
      <w:r>
        <w:rPr>
          <w:rFonts w:ascii="Times New Roman;serif" w:hAnsi="Times New Roman;serif"/>
          <w:b w:val="false"/>
          <w:color w:val="000000"/>
          <w:sz w:val="22"/>
        </w:rPr>
        <w:t>2.2    </w:t>
      </w:r>
      <w:r>
        <w:rPr>
          <w:rFonts w:ascii="Times New Roman;serif" w:hAnsi="Times New Roman;serif"/>
          <w:b w:val="false"/>
          <w:color w:val="000000"/>
          <w:sz w:val="22"/>
          <w:u w:val="single"/>
        </w:rPr>
        <w:t>Forfeiture</w:t>
      </w:r>
      <w:r>
        <w:rPr>
          <w:rFonts w:ascii="Times New Roman;serif" w:hAnsi="Times New Roman;serif"/>
          <w:b w:val="false"/>
          <w:color w:val="000000"/>
          <w:sz w:val="22"/>
        </w:rPr>
        <w:t>. In the event of Participant’s Termination of Service for any reason, Participant will immediately and automatically forfeit to the Company any Shares that are not Vested Shares (the “</w:t>
      </w:r>
      <w:r>
        <w:rPr>
          <w:rFonts w:ascii="Times New Roman;serif" w:hAnsi="Times New Roman;serif"/>
          <w:b/>
          <w:i/>
          <w:color w:val="000000"/>
          <w:sz w:val="22"/>
        </w:rPr>
        <w:t>Unvested Shares</w:t>
      </w:r>
      <w:r>
        <w:rPr>
          <w:color w:val="000000"/>
        </w:rPr>
        <w:t>”</w:t>
      </w:r>
      <w:r>
        <w:rPr>
          <w:rFonts w:ascii="Times New Roman;serif" w:hAnsi="Times New Roman;serif"/>
          <w:b w:val="false"/>
          <w:color w:val="000000"/>
          <w:sz w:val="22"/>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2.3    </w:t>
      </w:r>
      <w:r>
        <w:rPr>
          <w:rFonts w:ascii="Times New Roman;serif" w:hAnsi="Times New Roman;serif"/>
          <w:b w:val="false"/>
          <w:color w:val="000000"/>
          <w:sz w:val="22"/>
          <w:u w:val="single"/>
        </w:rPr>
        <w:t>Escrow</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representations or other documents or assurances as the Company or such representatives deem necessary or advisable in connection with any such transfer. The Company, or its authorized representative, will not be liable for any good faith act or omission with respect to the holding in escrow or transfer of the Restricted Shares.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All cash dividends and other distributions made or declared with respect to Unvested Shares (“</w:t>
      </w:r>
      <w:r>
        <w:rPr>
          <w:rFonts w:ascii="Times New Roman;serif" w:hAnsi="Times New Roman;serif"/>
          <w:b/>
          <w:i/>
          <w:color w:val="000000"/>
          <w:sz w:val="22"/>
        </w:rPr>
        <w:t>Retained Distributions</w:t>
      </w:r>
      <w:r>
        <w:rPr>
          <w:color w:val="000000"/>
        </w:rPr>
        <w:t>”</w:t>
      </w:r>
      <w:r>
        <w:rPr>
          <w:rFonts w:ascii="Times New Roman;serif" w:hAnsi="Times New Roman;serif"/>
          <w:b w:val="false"/>
          <w:color w:val="000000"/>
          <w:sz w:val="22"/>
        </w:rPr>
        <w:t>) will be held by the Company until the time (if ever) when the Unvested Shares to which such Retained Distributions relate become Vested Shares. The Company will establish a separate Retained Distribution bookkeeping account (“</w:t>
      </w:r>
      <w:r>
        <w:rPr>
          <w:rFonts w:ascii="Times New Roman;serif" w:hAnsi="Times New Roman;serif"/>
          <w:b/>
          <w:i/>
          <w:color w:val="000000"/>
          <w:sz w:val="22"/>
        </w:rPr>
        <w:t>Retained Distribution Account</w:t>
      </w:r>
      <w:r>
        <w:rPr>
          <w:color w:val="000000"/>
        </w:rPr>
        <w:t>”</w:t>
      </w:r>
      <w:r>
        <w:rPr>
          <w:rFonts w:ascii="Times New Roman;serif" w:hAnsi="Times New Roman;serif"/>
          <w:b w:val="false"/>
          <w:color w:val="000000"/>
          <w:sz w:val="22"/>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pStyle w:val="TextBody"/>
        <w:bidi w:val="0"/>
        <w:spacing w:lineRule="auto" w:line="288" w:before="0" w:after="240"/>
        <w:ind w:left="0" w:right="0" w:firstLine="720"/>
        <w:jc w:val="both"/>
        <w:rPr/>
      </w:pPr>
      <w:r>
        <w:rPr>
          <w:rFonts w:ascii="Times New Roman;serif" w:hAnsi="Times New Roman;serif"/>
          <w:b w:val="false"/>
          <w:color w:val="000000"/>
          <w:sz w:val="22"/>
        </w:rPr>
        <w:t>2.4    </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xml:space="preserve">.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III.</w:t>
        <w:br/>
        <w:t>TAXATION AND 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3.1    </w:t>
      </w:r>
      <w:r>
        <w:rPr>
          <w:rFonts w:ascii="Times New Roman;serif" w:hAnsi="Times New Roman;serif"/>
          <w:b w:val="false"/>
          <w:color w:val="000000"/>
          <w:sz w:val="22"/>
          <w:u w:val="single"/>
        </w:rPr>
        <w:t>Representation</w:t>
      </w:r>
      <w:r>
        <w:rPr>
          <w:rFonts w:ascii="Times New Roman;serif" w:hAnsi="Times New Roman;serif"/>
          <w:b w:val="false"/>
          <w:color w:val="000000"/>
          <w:sz w:val="22"/>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3.2    </w:t>
      </w:r>
      <w:r>
        <w:rPr>
          <w:rFonts w:ascii="Times New Roman;serif" w:hAnsi="Times New Roman;serif"/>
          <w:b w:val="false"/>
          <w:color w:val="000000"/>
          <w:sz w:val="22"/>
          <w:u w:val="single"/>
        </w:rPr>
        <w:t>Section 83(b) Election</w:t>
      </w:r>
      <w:r>
        <w:rPr>
          <w:rFonts w:ascii="Times New Roman;serif" w:hAnsi="Times New Roman;serif"/>
          <w:b w:val="false"/>
          <w:color w:val="000000"/>
          <w:sz w:val="22"/>
        </w:rPr>
        <w:t>. If Participant makes an election under Section 83(b) of the Code with respect to the Restricted Shares, Participant will deliver a copy of the election to the Company promptly after filing the election with the Internal Revenue Service.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3.3    </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IV.</w:t>
        <w:br/>
        <w:t>RESTRICTIVE LEGENDS AND TRANSFERABILITY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4.1    </w:t>
      </w:r>
      <w:r>
        <w:rPr>
          <w:rFonts w:ascii="Times New Roman;serif" w:hAnsi="Times New Roman;serif"/>
          <w:b w:val="false"/>
          <w:color w:val="000000"/>
          <w:sz w:val="22"/>
          <w:u w:val="single"/>
        </w:rPr>
        <w:t>Legends</w:t>
      </w:r>
      <w:r>
        <w:rPr>
          <w:rFonts w:ascii="Times New Roman;serif" w:hAnsi="Times New Roman;serif"/>
          <w:b w:val="false"/>
          <w:color w:val="000000"/>
          <w:sz w:val="22"/>
        </w:rPr>
        <w:t>. Any certificate representing a Restricted Share will bear the following legend until the Restricted Share becomes a Vested Share: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4.2    </w:t>
      </w:r>
      <w:r>
        <w:rPr>
          <w:rFonts w:ascii="Times New Roman;serif" w:hAnsi="Times New Roman;serif"/>
          <w:b w:val="false"/>
          <w:color w:val="000000"/>
          <w:sz w:val="22"/>
          <w:u w:val="single"/>
        </w:rPr>
        <w:t>Transferability</w:t>
      </w:r>
      <w:r>
        <w:rPr>
          <w:rFonts w:ascii="Times New Roman;serif" w:hAnsi="Times New Roman;serif"/>
          <w:b w:val="false"/>
          <w:color w:val="000000"/>
          <w:sz w:val="22"/>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w:t>
        <w:br/>
        <w:t>OTHER PROVISIONS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5.1    </w:t>
      </w:r>
      <w:r>
        <w:rPr>
          <w:rFonts w:ascii="Times New Roman;serif" w:hAnsi="Times New Roman;serif"/>
          <w:b w:val="false"/>
          <w:color w:val="000000"/>
          <w:sz w:val="22"/>
          <w:u w:val="single"/>
        </w:rPr>
        <w:t>Adjustments</w:t>
      </w:r>
      <w:r>
        <w:rPr>
          <w:rFonts w:ascii="Times New Roman;serif" w:hAnsi="Times New Roman;serif"/>
          <w:b w:val="false"/>
          <w:color w:val="000000"/>
          <w:sz w:val="22"/>
        </w:rPr>
        <w:t>. Participant acknowledges that the Restricted Shares are subject to adjustment, modification and termination in certain events as provided in this Agreement and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5.2    </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5.3    </w:t>
      </w:r>
      <w:r>
        <w:rPr>
          <w:rFonts w:ascii="Times New Roman;serif" w:hAnsi="Times New Roman;serif"/>
          <w:b w:val="false"/>
          <w:color w:val="000000"/>
          <w:sz w:val="22"/>
          <w:u w:val="single"/>
        </w:rPr>
        <w:t>Titles</w:t>
      </w:r>
      <w:r>
        <w:rPr>
          <w:rFonts w:ascii="Times New Roman;serif" w:hAnsi="Times New Roman;serif"/>
          <w:b w:val="false"/>
          <w:color w:val="000000"/>
          <w:sz w:val="22"/>
        </w:rPr>
        <w:t>. Titles are provided herein for convenience only and are not to serve as a basis for interpretation or construction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5.4    </w:t>
      </w:r>
      <w:r>
        <w:rPr>
          <w:rFonts w:ascii="Times New Roman;serif" w:hAnsi="Times New Roman;serif"/>
          <w:b w:val="false"/>
          <w:color w:val="000000"/>
          <w:sz w:val="22"/>
          <w:u w:val="single"/>
        </w:rPr>
        <w:t>Conformity to Securities Laws</w:t>
      </w:r>
      <w:r>
        <w:rPr>
          <w:rFonts w:ascii="Times New Roman;serif" w:hAnsi="Times New Roman;serif"/>
          <w:b w:val="false"/>
          <w:color w:val="000000"/>
          <w:sz w:val="22"/>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5.5    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5.6    </w:t>
      </w:r>
      <w:r>
        <w:rPr>
          <w:rFonts w:ascii="Times New Roman;serif" w:hAnsi="Times New Roman;serif"/>
          <w:b w:val="false"/>
          <w:color w:val="000000"/>
          <w:sz w:val="22"/>
          <w:u w:val="single"/>
        </w:rPr>
        <w:t>Limitations Applicable to Section 16 Persons</w:t>
      </w:r>
      <w:r>
        <w:rPr>
          <w:rFonts w:ascii="Times New Roman;serif" w:hAnsi="Times New Roman;serif"/>
          <w:b w:val="false"/>
          <w:color w:val="000000"/>
          <w:sz w:val="22"/>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2"/>
        </w:rPr>
        <w:t>5.7    </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5.8    </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5.9    </w:t>
      </w:r>
      <w:r>
        <w:rPr>
          <w:rFonts w:ascii="Times New Roman;serif" w:hAnsi="Times New Roman;serif"/>
          <w:b w:val="false"/>
          <w:color w:val="000000"/>
          <w:sz w:val="22"/>
          <w:u w:val="single"/>
        </w:rPr>
        <w:t>Limitation on Participant’s Rights</w:t>
      </w:r>
      <w:r>
        <w:rPr>
          <w:rFonts w:ascii="Times New Roman;serif" w:hAnsi="Times New Roman;serif"/>
          <w:b w:val="false"/>
          <w:color w:val="000000"/>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5.10    </w:t>
      </w:r>
      <w:r>
        <w:rPr>
          <w:rFonts w:ascii="Times New Roman;serif" w:hAnsi="Times New Roman;serif"/>
          <w:b w:val="false"/>
          <w:color w:val="000000"/>
          <w:sz w:val="22"/>
          <w:u w:val="single"/>
        </w:rPr>
        <w:t>Not a Contract of Employment</w:t>
      </w:r>
      <w:r>
        <w:rPr>
          <w:rFonts w:ascii="Times New Roman;serif" w:hAnsi="Times New Roman;serif"/>
          <w:b w:val="false"/>
          <w:color w:val="000000"/>
          <w:sz w:val="22"/>
        </w:rPr>
        <w:t xml:space="preserve">. Nothing in the Plan, the Grant Notice or this Agreement confers upon Participant any right to continue in the employ or service of the Company or any Subsidiary or interferes with or restricts in any way the rights of the Company and its </w:t>
      </w:r>
      <w:r>
        <w:rPr>
          <w:rFonts w:ascii="Times New Roman;serif" w:hAnsi="Times New Roman;serif"/>
          <w:b w:val="false"/>
          <w:color w:val="000000"/>
          <w:sz w:val="22"/>
          <w:u w:val="single"/>
        </w:rPr>
        <w:t>Subsidiaries</w:t>
      </w:r>
      <w:r>
        <w:rPr>
          <w:rFonts w:ascii="Times New Roman;serif" w:hAnsi="Times New Roman;serif"/>
          <w:b w:val="false"/>
          <w:color w:val="000000"/>
          <w:sz w:val="22"/>
        </w:rPr>
        <w:t>,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5.11    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 * *</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SECTION 302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Carsten Brunn, Ph.D.,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Cartesian Therapeutics,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912"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523"/>
        <w:gridCol w:w="1523"/>
        <w:gridCol w:w="217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C2C2C"/>
                <w:sz w:val="20"/>
              </w:rPr>
            </w:pPr>
            <w:r>
              <w:rPr>
                <w:rFonts w:ascii="Times New Roman;serif" w:hAnsi="Times New Roman;serif"/>
                <w:b w:val="false"/>
                <w:color w:val="2C2C2C"/>
                <w:sz w:val="20"/>
              </w:rPr>
              <w:t>August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Carsten Brunn, Ph.D.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Carsten Brunn, Ph.D.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Chairman of the Board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Blaine Davis,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Cartesian Therapeutics,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21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736"/>
        <w:gridCol w:w="736"/>
        <w:gridCol w:w="104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C2C2C"/>
                <w:sz w:val="20"/>
              </w:rPr>
            </w:pPr>
            <w:r>
              <w:rPr>
                <w:rFonts w:ascii="Times New Roman;serif" w:hAnsi="Times New Roman;serif"/>
                <w:b w:val="false"/>
                <w:color w:val="2C2C2C"/>
                <w:sz w:val="20"/>
              </w:rPr>
              <w:t>August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Blaine Davis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Blaine Davis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ind w:left="0" w:right="0" w:firstLine="1260"/>
        <w:jc w:val="center"/>
        <w:rPr/>
      </w:pPr>
      <w:r>
        <w:rPr/>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Cartesian Therapeutics, Inc. (the “Company”) for the period ended June 30, 2026 as filed with the Securities and Exchange Commission on the date hereof (the “Report”), each of the undersigned officers of the Company hereby certifies, pursuant to 18 U.S.C. Section 1350, that to his knowledge: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200" w:after="283"/>
        <w:ind w:left="0" w:right="0" w:hanging="360"/>
        <w:jc w:val="left"/>
        <w:rPr/>
      </w:pPr>
      <w:r>
        <w:rPr/>
      </w:r>
    </w:p>
    <w:tbl>
      <w:tblPr>
        <w:tblW w:w="6912"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523"/>
        <w:gridCol w:w="1523"/>
        <w:gridCol w:w="217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C2C2C"/>
                <w:sz w:val="20"/>
              </w:rPr>
            </w:pPr>
            <w:r>
              <w:rPr>
                <w:rFonts w:ascii="Times New Roman;serif" w:hAnsi="Times New Roman;serif"/>
                <w:b w:val="false"/>
                <w:color w:val="2C2C2C"/>
                <w:sz w:val="20"/>
              </w:rPr>
              <w:t>August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Carsten Brunn, Ph.D.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Carsten Brunn, Ph.D.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Chairman of the Board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tbl>
      <w:tblPr>
        <w:tblW w:w="421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736"/>
        <w:gridCol w:w="736"/>
        <w:gridCol w:w="104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C2C2C"/>
                <w:sz w:val="20"/>
              </w:rPr>
            </w:pPr>
            <w:r>
              <w:rPr>
                <w:rFonts w:ascii="Times New Roman;serif" w:hAnsi="Times New Roman;serif"/>
                <w:b w:val="false"/>
                <w:color w:val="2C2C2C"/>
                <w:sz w:val="20"/>
              </w:rPr>
              <w:t>August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Blaine Davis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Blaine Davis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3687/000119312523275461/d869185dex21.htm" TargetMode="External"/><Relationship Id="rId3" Type="http://schemas.openxmlformats.org/officeDocument/2006/relationships/hyperlink" Target="https://www.sec.gov/Archives/edgar/data/1453687/000110465916129891/a16-14002_1ex3d1.htm" TargetMode="External"/><Relationship Id="rId4" Type="http://schemas.openxmlformats.org/officeDocument/2006/relationships/hyperlink" Target="https://www.sec.gov/Archives/edgar/data/0001453687/000145368722000109/exhibit31_charteramendment.htm" TargetMode="External"/><Relationship Id="rId5" Type="http://schemas.openxmlformats.org/officeDocument/2006/relationships/hyperlink" Target="https://www.sec.gov/Archives/edgar/data/1453687/000119312523275461/d869185dex33.htm" TargetMode="External"/><Relationship Id="rId6" Type="http://schemas.openxmlformats.org/officeDocument/2006/relationships/hyperlink" Target="https://www.sec.gov/Archives/edgar/data/1453687/000145368724000048/exhibit32certificateofamen.htm" TargetMode="External"/><Relationship Id="rId7" Type="http://schemas.openxmlformats.org/officeDocument/2006/relationships/hyperlink" Target="https://www.sec.gov/Archives/edgar/data/1453687/000114036125039793/ef20057980_ex3-2.htm" TargetMode="External"/><Relationship Id="rId8" Type="http://schemas.openxmlformats.org/officeDocument/2006/relationships/hyperlink" Target="https://www.sec.gov/Archives/edgar/data/1453687/000119312523275461/d869185dex34.htm" TargetMode="External"/><Relationship Id="rId9" Type="http://schemas.openxmlformats.org/officeDocument/2006/relationships/hyperlink" Target="https://www.sec.gov/Archives/edgar/data/1453687/000145368724000048/exhibit31certificateofamen.htm" TargetMode="External"/><Relationship Id="rId10" Type="http://schemas.openxmlformats.org/officeDocument/2006/relationships/hyperlink" Target="https://www.sec.gov/Archives/edgar/data/1453687/000114036124032080/ef20031962_ex3-1.htm" TargetMode="External"/><Relationship Id="rId11" Type="http://schemas.openxmlformats.org/officeDocument/2006/relationships/hyperlink" Target="https://www.sec.gov/Archives/edgar/data/1453687/000145368726000087/cartesian-k2hvxloanandsecu.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41043</Words>
  <Characters>223830</Characters>
  <CharactersWithSpaces>263825</CharactersWithSpaces>
  <Paragraphs>3027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